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6BA8" w14:textId="77777777" w:rsidR="00C36639" w:rsidRDefault="00C36639" w:rsidP="00C36639">
      <w:pPr>
        <w:rPr>
          <w:rFonts w:ascii="Garamond" w:eastAsia="Garamond" w:hAnsi="Garamond" w:cs="Garamond"/>
          <w:b/>
          <w:bCs/>
          <w:color w:val="BF4E14" w:themeColor="accent2" w:themeShade="BF"/>
          <w:kern w:val="0"/>
          <w:sz w:val="40"/>
          <w:szCs w:val="40"/>
          <w14:ligatures w14:val="none"/>
        </w:rPr>
      </w:pPr>
      <w:r w:rsidRPr="00C36639">
        <w:rPr>
          <w:rFonts w:ascii="Garamond" w:eastAsia="Garamond" w:hAnsi="Garamond" w:cs="Garamond"/>
          <w:b/>
          <w:bCs/>
          <w:color w:val="BF4E14" w:themeColor="accent2" w:themeShade="BF"/>
          <w:kern w:val="0"/>
          <w:sz w:val="40"/>
          <w:szCs w:val="40"/>
          <w14:ligatures w14:val="none"/>
        </w:rPr>
        <w:t>SAMPLE CHAPTER · FOR EDUCATOR REVIEW</w:t>
      </w:r>
    </w:p>
    <w:p w14:paraId="201880C8" w14:textId="77777777" w:rsidR="00C36639" w:rsidRDefault="00C36639" w:rsidP="00C36639">
      <w:pPr>
        <w:rPr>
          <w:rFonts w:ascii="Garamond" w:eastAsia="Garamond" w:hAnsi="Garamond" w:cs="Garamond"/>
          <w:b/>
          <w:bCs/>
          <w:color w:val="BF4E14" w:themeColor="accent2" w:themeShade="BF"/>
          <w:kern w:val="0"/>
          <w:sz w:val="40"/>
          <w:szCs w:val="40"/>
          <w14:ligatures w14:val="none"/>
        </w:rPr>
      </w:pPr>
    </w:p>
    <w:p w14:paraId="2125751B" w14:textId="77777777" w:rsidR="00877C0F" w:rsidRDefault="00877C0F" w:rsidP="00C36639">
      <w:pPr>
        <w:rPr>
          <w:rFonts w:ascii="Garamond" w:eastAsia="Garamond" w:hAnsi="Garamond" w:cs="Garamond"/>
          <w:b/>
          <w:bCs/>
          <w:color w:val="BF4E14" w:themeColor="accent2" w:themeShade="BF"/>
          <w:kern w:val="0"/>
          <w:sz w:val="40"/>
          <w:szCs w:val="40"/>
          <w14:ligatures w14:val="none"/>
        </w:rPr>
      </w:pPr>
    </w:p>
    <w:p w14:paraId="64FDA5F1" w14:textId="77777777" w:rsidR="00877C0F" w:rsidRPr="00C36639" w:rsidRDefault="00877C0F" w:rsidP="00C36639">
      <w:pPr>
        <w:rPr>
          <w:rFonts w:ascii="Garamond" w:eastAsia="Garamond" w:hAnsi="Garamond" w:cs="Garamond"/>
          <w:b/>
          <w:bCs/>
          <w:color w:val="BF4E14" w:themeColor="accent2" w:themeShade="BF"/>
          <w:kern w:val="0"/>
          <w:sz w:val="40"/>
          <w:szCs w:val="40"/>
          <w14:ligatures w14:val="none"/>
        </w:rPr>
      </w:pPr>
    </w:p>
    <w:p w14:paraId="7E06DC93" w14:textId="77777777" w:rsidR="00C36639" w:rsidRPr="00C36639" w:rsidRDefault="00C36639" w:rsidP="00C36639">
      <w:pPr>
        <w:jc w:val="center"/>
        <w:rPr>
          <w:rFonts w:ascii="Garamond" w:eastAsia="Garamond" w:hAnsi="Garamond" w:cs="Garamond"/>
          <w:b/>
          <w:bCs/>
          <w:kern w:val="0"/>
          <w:sz w:val="96"/>
          <w:szCs w:val="96"/>
          <w14:ligatures w14:val="none"/>
        </w:rPr>
      </w:pPr>
      <w:r w:rsidRPr="00C36639">
        <w:rPr>
          <w:rFonts w:ascii="Garamond" w:eastAsia="Garamond" w:hAnsi="Garamond" w:cs="Garamond"/>
          <w:b/>
          <w:bCs/>
          <w:kern w:val="0"/>
          <w:sz w:val="96"/>
          <w:szCs w:val="96"/>
          <w14:ligatures w14:val="none"/>
        </w:rPr>
        <w:t>Space Debris</w:t>
      </w:r>
    </w:p>
    <w:p w14:paraId="6848FDB8" w14:textId="77777777" w:rsidR="00C36639" w:rsidRPr="00877C0F" w:rsidRDefault="00C36639" w:rsidP="00C36639">
      <w:pPr>
        <w:jc w:val="center"/>
        <w:rPr>
          <w:rFonts w:ascii="Garamond" w:eastAsia="Garamond" w:hAnsi="Garamond" w:cs="Garamond"/>
          <w:b/>
          <w:bCs/>
          <w:i/>
          <w:iCs/>
          <w:kern w:val="0"/>
          <w:sz w:val="56"/>
          <w:szCs w:val="56"/>
          <w14:ligatures w14:val="none"/>
        </w:rPr>
      </w:pPr>
      <w:r w:rsidRPr="00877C0F">
        <w:rPr>
          <w:rFonts w:ascii="Garamond" w:eastAsia="Garamond" w:hAnsi="Garamond" w:cs="Garamond"/>
          <w:b/>
          <w:bCs/>
          <w:i/>
          <w:iCs/>
          <w:kern w:val="0"/>
          <w:sz w:val="56"/>
          <w:szCs w:val="56"/>
          <w14:ligatures w14:val="none"/>
        </w:rPr>
        <w:t>Clearing the Final Frontier</w:t>
      </w:r>
    </w:p>
    <w:p w14:paraId="5829E3F7" w14:textId="77777777" w:rsidR="00C36639" w:rsidRPr="00C36639" w:rsidRDefault="00C36639" w:rsidP="00C36639">
      <w:pPr>
        <w:jc w:val="center"/>
        <w:rPr>
          <w:rFonts w:ascii="Garamond" w:eastAsia="Garamond" w:hAnsi="Garamond" w:cs="Garamond"/>
          <w:b/>
          <w:bCs/>
          <w:i/>
          <w:iCs/>
          <w:kern w:val="0"/>
          <w:sz w:val="72"/>
          <w:szCs w:val="72"/>
          <w14:ligatures w14:val="none"/>
        </w:rPr>
      </w:pPr>
    </w:p>
    <w:p w14:paraId="533A61AC" w14:textId="77777777" w:rsidR="00C36639" w:rsidRPr="00C36639" w:rsidRDefault="00C36639" w:rsidP="00C36639">
      <w:pPr>
        <w:jc w:val="center"/>
        <w:rPr>
          <w:rFonts w:ascii="Garamond" w:eastAsia="Garamond" w:hAnsi="Garamond" w:cs="Garamond"/>
          <w:b/>
          <w:bCs/>
          <w:kern w:val="0"/>
          <w:sz w:val="40"/>
          <w:szCs w:val="40"/>
          <w14:ligatures w14:val="none"/>
        </w:rPr>
      </w:pPr>
      <w:r w:rsidRPr="00C36639">
        <w:rPr>
          <w:rFonts w:ascii="Garamond" w:eastAsia="Garamond" w:hAnsi="Garamond" w:cs="Garamond"/>
          <w:b/>
          <w:bCs/>
          <w:kern w:val="0"/>
          <w:sz w:val="40"/>
          <w:szCs w:val="40"/>
          <w14:ligatures w14:val="none"/>
        </w:rPr>
        <w:t>Jason P. Crutchfield</w:t>
      </w:r>
    </w:p>
    <w:p w14:paraId="01C1D78F" w14:textId="77777777" w:rsidR="00C36639" w:rsidRPr="00877C0F" w:rsidRDefault="00C36639" w:rsidP="00C36639">
      <w:pPr>
        <w:jc w:val="center"/>
        <w:rPr>
          <w:rFonts w:ascii="Sagona Book" w:eastAsia="Garamond" w:hAnsi="Sagona Book" w:cs="Times New Roman"/>
          <w:i/>
          <w:iCs/>
          <w:color w:val="A6A6A6" w:themeColor="background1" w:themeShade="A6"/>
          <w:kern w:val="0"/>
          <w:sz w:val="28"/>
          <w:szCs w:val="28"/>
          <w14:ligatures w14:val="none"/>
        </w:rPr>
      </w:pPr>
      <w:proofErr w:type="spellStart"/>
      <w:r w:rsidRPr="00877C0F">
        <w:rPr>
          <w:rFonts w:ascii="Sagona Book" w:eastAsia="Garamond" w:hAnsi="Sagona Book" w:cs="Times New Roman"/>
          <w:i/>
          <w:iCs/>
          <w:color w:val="A6A6A6" w:themeColor="background1" w:themeShade="A6"/>
          <w:kern w:val="0"/>
          <w:sz w:val="28"/>
          <w:szCs w:val="28"/>
          <w14:ligatures w14:val="none"/>
        </w:rPr>
        <w:t>Immensum</w:t>
      </w:r>
      <w:proofErr w:type="spellEnd"/>
      <w:r w:rsidRPr="00877C0F">
        <w:rPr>
          <w:rFonts w:ascii="Sagona Book" w:eastAsia="Garamond" w:hAnsi="Sagona Book" w:cs="Times New Roman"/>
          <w:i/>
          <w:iCs/>
          <w:color w:val="A6A6A6" w:themeColor="background1" w:themeShade="A6"/>
          <w:kern w:val="0"/>
          <w:sz w:val="28"/>
          <w:szCs w:val="28"/>
          <w14:ligatures w14:val="none"/>
        </w:rPr>
        <w:t xml:space="preserve"> Press · June 22, 2026</w:t>
      </w:r>
    </w:p>
    <w:p w14:paraId="4E085E75" w14:textId="77777777" w:rsidR="00C36639" w:rsidRDefault="00C36639" w:rsidP="00C36639">
      <w:pPr>
        <w:jc w:val="center"/>
        <w:rPr>
          <w:rFonts w:ascii="Garamond" w:eastAsia="Garamond" w:hAnsi="Garamond" w:cs="Garamond"/>
          <w:b/>
          <w:bCs/>
          <w:color w:val="A6A6A6" w:themeColor="background1" w:themeShade="A6"/>
          <w:kern w:val="0"/>
          <w:sz w:val="40"/>
          <w:szCs w:val="40"/>
          <w14:ligatures w14:val="none"/>
        </w:rPr>
      </w:pPr>
    </w:p>
    <w:p w14:paraId="5EDF2C3D" w14:textId="77777777" w:rsidR="00C36639" w:rsidRDefault="00C36639" w:rsidP="00C36639">
      <w:pPr>
        <w:jc w:val="center"/>
        <w:rPr>
          <w:rFonts w:ascii="Garamond" w:eastAsia="Garamond" w:hAnsi="Garamond" w:cs="Garamond"/>
          <w:b/>
          <w:bCs/>
          <w:color w:val="A6A6A6" w:themeColor="background1" w:themeShade="A6"/>
          <w:kern w:val="0"/>
          <w:sz w:val="40"/>
          <w:szCs w:val="40"/>
          <w14:ligatures w14:val="none"/>
        </w:rPr>
      </w:pPr>
    </w:p>
    <w:p w14:paraId="4BAA15B4" w14:textId="77777777" w:rsidR="00C36639" w:rsidRPr="00C36639" w:rsidRDefault="00C36639" w:rsidP="00C36639">
      <w:pPr>
        <w:jc w:val="center"/>
        <w:rPr>
          <w:rFonts w:ascii="Garamond" w:eastAsia="Garamond" w:hAnsi="Garamond" w:cs="Garamond"/>
          <w:b/>
          <w:bCs/>
          <w:color w:val="A6A6A6" w:themeColor="background1" w:themeShade="A6"/>
          <w:kern w:val="0"/>
          <w:sz w:val="40"/>
          <w:szCs w:val="40"/>
          <w14:ligatures w14:val="none"/>
        </w:rPr>
      </w:pPr>
    </w:p>
    <w:p w14:paraId="047734C9" w14:textId="77777777" w:rsidR="00C36639" w:rsidRPr="00C36639" w:rsidRDefault="00C36639" w:rsidP="00C36639">
      <w:pPr>
        <w:jc w:val="center"/>
        <w:rPr>
          <w:rFonts w:ascii="Garamond" w:eastAsia="Garamond" w:hAnsi="Garamond" w:cs="Garamond"/>
          <w:color w:val="BF4E14" w:themeColor="accent2" w:themeShade="BF"/>
          <w:kern w:val="0"/>
          <w:sz w:val="36"/>
          <w:szCs w:val="36"/>
          <w14:ligatures w14:val="none"/>
        </w:rPr>
      </w:pPr>
      <w:r w:rsidRPr="00C36639">
        <w:rPr>
          <w:rFonts w:ascii="Garamond" w:eastAsia="Garamond" w:hAnsi="Garamond" w:cs="Garamond"/>
          <w:color w:val="BF4E14" w:themeColor="accent2" w:themeShade="BF"/>
          <w:kern w:val="0"/>
          <w:sz w:val="36"/>
          <w:szCs w:val="36"/>
          <w14:ligatures w14:val="none"/>
        </w:rPr>
        <w:t>CHAPTER 1</w:t>
      </w:r>
    </w:p>
    <w:p w14:paraId="6C30C076" w14:textId="77777777" w:rsidR="00C36639" w:rsidRDefault="00C36639" w:rsidP="00C36639">
      <w:pPr>
        <w:jc w:val="center"/>
        <w:rPr>
          <w:rFonts w:ascii="Garamond" w:eastAsia="Garamond" w:hAnsi="Garamond" w:cs="Garamond"/>
          <w:b/>
          <w:bCs/>
          <w:kern w:val="0"/>
          <w:sz w:val="56"/>
          <w:szCs w:val="56"/>
          <w14:ligatures w14:val="none"/>
        </w:rPr>
      </w:pPr>
      <w:r w:rsidRPr="00C36639">
        <w:rPr>
          <w:rFonts w:ascii="Garamond" w:eastAsia="Garamond" w:hAnsi="Garamond" w:cs="Garamond"/>
          <w:b/>
          <w:bCs/>
          <w:kern w:val="0"/>
          <w:sz w:val="56"/>
          <w:szCs w:val="56"/>
          <w14:ligatures w14:val="none"/>
        </w:rPr>
        <w:t>Introduction to the Space Debris Crisis</w:t>
      </w:r>
    </w:p>
    <w:p w14:paraId="2923124C" w14:textId="77777777" w:rsidR="00C36639" w:rsidRPr="00C36639" w:rsidRDefault="00C36639" w:rsidP="00C36639">
      <w:pPr>
        <w:jc w:val="center"/>
        <w:rPr>
          <w:rFonts w:ascii="Times New Roman" w:eastAsia="Garamond" w:hAnsi="Times New Roman" w:cs="Times New Roman"/>
          <w:b/>
          <w:bCs/>
          <w:kern w:val="0"/>
          <w:sz w:val="28"/>
          <w:szCs w:val="28"/>
          <w14:ligatures w14:val="none"/>
        </w:rPr>
      </w:pPr>
    </w:p>
    <w:p w14:paraId="25545D9B" w14:textId="77777777" w:rsidR="00C36639" w:rsidRPr="00C36639" w:rsidRDefault="00C36639" w:rsidP="00C36639">
      <w:pPr>
        <w:jc w:val="center"/>
        <w:rPr>
          <w:rFonts w:ascii="Times New Roman" w:eastAsia="Garamond" w:hAnsi="Times New Roman" w:cs="Times New Roman"/>
          <w:color w:val="A6A6A6" w:themeColor="background1" w:themeShade="A6"/>
          <w:kern w:val="0"/>
          <w:sz w:val="28"/>
          <w:szCs w:val="28"/>
          <w14:ligatures w14:val="none"/>
        </w:rPr>
      </w:pPr>
      <w:r w:rsidRPr="00C36639">
        <w:rPr>
          <w:rFonts w:ascii="Times New Roman" w:eastAsia="Garamond" w:hAnsi="Times New Roman" w:cs="Times New Roman"/>
          <w:color w:val="A6A6A6" w:themeColor="background1" w:themeShade="A6"/>
          <w:kern w:val="0"/>
          <w:sz w:val="28"/>
          <w:szCs w:val="28"/>
          <w14:ligatures w14:val="none"/>
        </w:rPr>
        <w:t>To request a full complimentary examination copy, visit</w:t>
      </w:r>
    </w:p>
    <w:p w14:paraId="1D060C68" w14:textId="3097B97C" w:rsidR="00C36639" w:rsidRPr="00C36639" w:rsidRDefault="00C36639" w:rsidP="00C36639">
      <w:pPr>
        <w:jc w:val="center"/>
        <w:rPr>
          <w:rFonts w:ascii="Times New Roman" w:eastAsia="Garamond" w:hAnsi="Times New Roman" w:cs="Times New Roman"/>
          <w:color w:val="A6A6A6" w:themeColor="background1" w:themeShade="A6"/>
          <w:kern w:val="0"/>
          <w:sz w:val="28"/>
          <w:szCs w:val="28"/>
          <w14:ligatures w14:val="none"/>
        </w:rPr>
      </w:pPr>
      <w:r w:rsidRPr="00C36639">
        <w:rPr>
          <w:rFonts w:ascii="Times New Roman" w:eastAsia="Garamond" w:hAnsi="Times New Roman" w:cs="Times New Roman"/>
          <w:color w:val="A6A6A6" w:themeColor="background1" w:themeShade="A6"/>
          <w:kern w:val="0"/>
          <w:sz w:val="28"/>
          <w:szCs w:val="28"/>
          <w14:ligatures w14:val="none"/>
        </w:rPr>
        <w:t>spacedebrisauthor.com/educators</w:t>
      </w:r>
    </w:p>
    <w:p w14:paraId="4C332852" w14:textId="71D3EC5C" w:rsidR="00C36639" w:rsidRPr="00C36639" w:rsidRDefault="00C36639" w:rsidP="00877C0F">
      <w:pPr>
        <w:jc w:val="center"/>
        <w:rPr>
          <w:rFonts w:ascii="Garamond" w:eastAsia="Garamond" w:hAnsi="Garamond" w:cs="Garamond"/>
          <w:b/>
          <w:bCs/>
          <w:kern w:val="0"/>
          <w:sz w:val="40"/>
          <w:szCs w:val="40"/>
          <w14:ligatures w14:val="none"/>
        </w:rPr>
      </w:pPr>
      <w:r>
        <w:rPr>
          <w:rFonts w:ascii="Garamond" w:eastAsia="Garamond" w:hAnsi="Garamond" w:cs="Garamond"/>
          <w:b/>
          <w:bCs/>
          <w:kern w:val="0"/>
          <w:sz w:val="40"/>
          <w:szCs w:val="40"/>
          <w14:ligatures w14:val="none"/>
        </w:rPr>
        <w:br w:type="page"/>
      </w:r>
      <w:r w:rsidRPr="00C36639">
        <w:rPr>
          <w:rFonts w:ascii="Garamond" w:eastAsia="Garamond" w:hAnsi="Garamond" w:cs="Garamond"/>
          <w:b/>
          <w:bCs/>
          <w:kern w:val="0"/>
          <w:sz w:val="40"/>
          <w:szCs w:val="40"/>
          <w14:ligatures w14:val="none"/>
        </w:rPr>
        <w:lastRenderedPageBreak/>
        <w:t>Chapter 1. The Space Debris Crisis: An Introduction</w:t>
      </w:r>
    </w:p>
    <w:p w14:paraId="619EB478"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The Hidden Cost of the Space Age</w:t>
      </w:r>
    </w:p>
    <w:p w14:paraId="207E41E7"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On October 4, 1957, the Soviet Union launched a polished aluminum sphere about the size of a beach ball into low Earth orbit. Sputnik 1 weighed 83.6 kilograms (184 pounds) and carried four whip antennas, two radio transmitters, and a battery that powered three weeks of beeping. It was the first artificial object to orbit Earth, marking the beginning of the space age. A few observers noted at the time that Sputnik 1 was not the only object to reach orbit on that flight. The R-7 rocket’s core stage, which had carried the satellite into space, also entered orbit and remained there for two months before reentering. Sputnik 1 itself decayed and burned up on January 4, 1958. The rocket stage was, in a real sense, the first piece of space debris.</w:t>
      </w:r>
    </w:p>
    <w:p w14:paraId="26B2FA62"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Almost seventy years later, the orbital environment that Sputnik </w:t>
      </w:r>
      <w:proofErr w:type="gramStart"/>
      <w:r w:rsidRPr="00C36639">
        <w:rPr>
          <w:rFonts w:ascii="Garamond" w:eastAsia="Garamond" w:hAnsi="Garamond" w:cs="Garamond"/>
          <w:kern w:val="0"/>
          <w:sz w:val="22"/>
          <w:szCs w:val="22"/>
          <w14:ligatures w14:val="none"/>
        </w:rPr>
        <w:t>inaugurated</w:t>
      </w:r>
      <w:proofErr w:type="gramEnd"/>
      <w:r w:rsidRPr="00C36639">
        <w:rPr>
          <w:rFonts w:ascii="Garamond" w:eastAsia="Garamond" w:hAnsi="Garamond" w:cs="Garamond"/>
          <w:kern w:val="0"/>
          <w:sz w:val="22"/>
          <w:szCs w:val="22"/>
          <w14:ligatures w14:val="none"/>
        </w:rPr>
        <w:t xml:space="preserve"> is no longer a vast, empty volume occasionally crossed by a satellite. According to the European Space Agency’s 2025 Space Environment Report, roughly 40,000 objects larger than ten centimeters are currently tracked in Earth orbit by global space surveillance networks. Approximately 11,000 of these are active, functioning satellites. The remainder, including defunct spacecraft, spent rocket bodies, mission-related debris, and fragments from past collisions and explosions, </w:t>
      </w:r>
      <w:proofErr w:type="gramStart"/>
      <w:r w:rsidRPr="00C36639">
        <w:rPr>
          <w:rFonts w:ascii="Garamond" w:eastAsia="Garamond" w:hAnsi="Garamond" w:cs="Garamond"/>
          <w:kern w:val="0"/>
          <w:sz w:val="22"/>
          <w:szCs w:val="22"/>
          <w14:ligatures w14:val="none"/>
        </w:rPr>
        <w:t>constitutes</w:t>
      </w:r>
      <w:proofErr w:type="gramEnd"/>
      <w:r w:rsidRPr="00C36639">
        <w:rPr>
          <w:rFonts w:ascii="Garamond" w:eastAsia="Garamond" w:hAnsi="Garamond" w:cs="Garamond"/>
          <w:kern w:val="0"/>
          <w:sz w:val="22"/>
          <w:szCs w:val="22"/>
          <w14:ligatures w14:val="none"/>
        </w:rPr>
        <w:t xml:space="preserve"> debris. When statistical models extend the count below the tracking threshold, the picture becomes more dramatic: an estimated 1.2 million objects between 1 and 10 centimeters (0.39 inches to 3.94 inches) in size, and roughly 140 million between 1 millimeter and 1 centimeter (0.039 inches to 0.39 inches). Each of these, traveling at orbital velocity, is a potential weapon.</w:t>
      </w:r>
    </w:p>
    <w:p w14:paraId="3B3C55AC"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numbers describe a problem that is no longer hypothetical. The space debris environment poses a measurable, growing risk to every satellite in operation, to the International Space Station and its crew, and to the long-term usability of the orbital regions on which modern civilization has come to depend. Yet the problem has developed gradually enough, and the affected systems are remote enough from daily experience, that public awareness has </w:t>
      </w:r>
      <w:proofErr w:type="gramStart"/>
      <w:r w:rsidRPr="00C36639">
        <w:rPr>
          <w:rFonts w:ascii="Garamond" w:eastAsia="Garamond" w:hAnsi="Garamond" w:cs="Garamond"/>
          <w:kern w:val="0"/>
          <w:sz w:val="22"/>
          <w:szCs w:val="22"/>
          <w14:ligatures w14:val="none"/>
        </w:rPr>
        <w:t>lagged behind</w:t>
      </w:r>
      <w:proofErr w:type="gramEnd"/>
      <w:r w:rsidRPr="00C36639">
        <w:rPr>
          <w:rFonts w:ascii="Garamond" w:eastAsia="Garamond" w:hAnsi="Garamond" w:cs="Garamond"/>
          <w:kern w:val="0"/>
          <w:sz w:val="22"/>
          <w:szCs w:val="22"/>
          <w14:ligatures w14:val="none"/>
        </w:rPr>
        <w:t xml:space="preserve"> the technical reality by decades. This book is about how that environment came to be, what is being done about it, and what must be done to keep low Earth orbit accessible for the missions of the coming decades.</w:t>
      </w:r>
    </w:p>
    <w:p w14:paraId="14AF79A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The following chapter outlines the problem in several steps. It begins by defining debris and how it is categorized, by both physical size and origin. It addresses the physics that make orbital debris uniquely dangerous: the high velocities of orbital objects and the consequences of hypervelocity impacts. It surveys the principal sources of debris, including mission-related releases, fragmentation events, and degradation products over time, and identifies the categories of greatest concern. It examines what is at stake for modern civilization in the continued usability of the orbital environment. It introduces the concept of space sustainability and the international frameworks that have emerged to address it. And it provides a map of the rest of the book, identifying which questions are addressed in which chapters.</w:t>
      </w:r>
    </w:p>
    <w:p w14:paraId="2ADBEC04"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Defining Space Debris</w:t>
      </w:r>
    </w:p>
    <w:p w14:paraId="51FA2D32"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Space debris, also called orbital debris or simply debris, refers to any artificial object in Earth orbit that no longer serves a useful purpose. The category is broad. It includes large derelict objects, defunct satellites that have exhausted their propellant and ceased communicating, spent rocket upper stages left in orbit after delivering their payloads, and adapter rings or other large hardware released during deployment. It also includes the products of fragmentation, the cataloged fragments from past explosions and collisions, ranging from millimeter-scale flakes to half-meter pieces of structure. And it includes mission-related debris, items </w:t>
      </w:r>
      <w:r w:rsidRPr="00C36639">
        <w:rPr>
          <w:rFonts w:ascii="Garamond" w:eastAsia="Garamond" w:hAnsi="Garamond" w:cs="Garamond"/>
          <w:kern w:val="0"/>
          <w:sz w:val="22"/>
          <w:szCs w:val="22"/>
          <w14:ligatures w14:val="none"/>
        </w:rPr>
        <w:lastRenderedPageBreak/>
        <w:t>deliberately released during normal operations, such as lens covers, separation bolts, and pieces of multi-layer insulation that have torn loose from spacecraft over time.</w:t>
      </w:r>
    </w:p>
    <w:p w14:paraId="05A4A58B"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The term excludes naturally occurring objects. Meteoroids, micrometeoroids, and the dust and gas of the interplanetary medium are not space debris in the technical sense, although they pose related hazards to spacecraft and are often grouped with debris under the combined term micrometeoroid and orbital debris, or MMOD. The technical distinction matters because different dynamics govern the populations and require different protective and operational responses. Natural micrometeoroids arrive predominantly from outside Earth’s gravitational system, with characteristic velocities in the tens of kilometers per second; orbital debris is bound to Earth, with characteristic velocities of seven to fifteen kilometers per second relative to other Earth-orbiting objects. The flux from each population varies with altitude, and at most operational altitudes, the orbital debris flux now exceeds the natural meteoroid flux for objects larger than about 1 millimeter.</w:t>
      </w:r>
    </w:p>
    <w:p w14:paraId="186F78D3"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Technical literature divides the debris population into size categories that reflect both available tracking capabilities and the engineering responses available to spacecraft designers. The U.S. Space Surveillance Network reliably tracks objects larger than approximately 10 centimeters (3.94 inches) in low Earth orbit and approximately 1 meter (3 feet 3 inches) in geostationary orbit, with somewhat better resolution for objects with high radar cross-sections. ESA’s space surveillance and tracking system, together with commercial providers such as LeoLabs, supplements U.S. tracking with additional sensors and somewhat different cataloging methodologies. The combined operational catalog for objects above the tracking threshold contains approximately 40,000 objects.</w:t>
      </w:r>
    </w:p>
    <w:p w14:paraId="077AFA64"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Categorization by Size</w:t>
      </w:r>
    </w:p>
    <w:p w14:paraId="13E48999"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Large debris is conventionally defined as objects larger than ten centimeters. These objects are the primary concern for catastrophic collisions. A ten-centimeter (3.94-inch) object striking a satellite carries roughly the kinetic energy of a half-ton vehicle traveling at highway speed, concentrated into a small impact area at several miles per second relative to the target. No practical shielding can absorb such an impact. The only operational defense is conjunction screening, which predicts close approaches in advance and enables avoidance maneuvers. Each large object is also a potential source of thousands of smaller fragments if it is struck. Therefore, removing large derelict objects from the most densely populated orbital regions is one of the principal long-term debris-reduction strategies.</w:t>
      </w:r>
    </w:p>
    <w:p w14:paraId="417F800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Medium debris, objects between 1 and 10 centimeters (0.39 to 3.94 inches) in size, constitute the most problematic population from an engineering standpoint. Objects in this range are too small for routine cataloging and tracking with current sensors, yet large enough to defeat any practical shielding. For example, a fragment less than half an inch (about one centimeter) across, made of aluminum and striking a satellite at orbital velocity, carries roughly the energy of a hand grenade. The estimated population of medium-sized debris in low Earth orbit, derived from radar measurements and statistical modeling, is approximately 1.2 million objects. Spacecraft designers cannot avoid these fragments operationally and cannot </w:t>
      </w:r>
      <w:proofErr w:type="gramStart"/>
      <w:r w:rsidRPr="00C36639">
        <w:rPr>
          <w:rFonts w:ascii="Garamond" w:eastAsia="Garamond" w:hAnsi="Garamond" w:cs="Garamond"/>
          <w:kern w:val="0"/>
          <w:sz w:val="22"/>
          <w:szCs w:val="22"/>
          <w14:ligatures w14:val="none"/>
        </w:rPr>
        <w:t>shield against</w:t>
      </w:r>
      <w:proofErr w:type="gramEnd"/>
      <w:r w:rsidRPr="00C36639">
        <w:rPr>
          <w:rFonts w:ascii="Garamond" w:eastAsia="Garamond" w:hAnsi="Garamond" w:cs="Garamond"/>
          <w:kern w:val="0"/>
          <w:sz w:val="22"/>
          <w:szCs w:val="22"/>
          <w14:ligatures w14:val="none"/>
        </w:rPr>
        <w:t xml:space="preserve"> them; the only mitigation strategy that addresses this population is to reduce the rate at which they are generated. The medium-debris population is, in this sense, the technical center of the debris problem: large enough to cause catastrophic damage, too small to track, and growing.</w:t>
      </w:r>
    </w:p>
    <w:p w14:paraId="5360923E"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Small debris, defined as objects smaller than one centimeter (half an inch), is by far the most numerous </w:t>
      </w:r>
      <w:proofErr w:type="gramStart"/>
      <w:r w:rsidRPr="00C36639">
        <w:rPr>
          <w:rFonts w:ascii="Garamond" w:eastAsia="Garamond" w:hAnsi="Garamond" w:cs="Garamond"/>
          <w:kern w:val="0"/>
          <w:sz w:val="22"/>
          <w:szCs w:val="22"/>
          <w14:ligatures w14:val="none"/>
        </w:rPr>
        <w:t>category</w:t>
      </w:r>
      <w:proofErr w:type="gramEnd"/>
      <w:r w:rsidRPr="00C36639">
        <w:rPr>
          <w:rFonts w:ascii="Garamond" w:eastAsia="Garamond" w:hAnsi="Garamond" w:cs="Garamond"/>
          <w:kern w:val="0"/>
          <w:sz w:val="22"/>
          <w:szCs w:val="22"/>
          <w14:ligatures w14:val="none"/>
        </w:rPr>
        <w:t xml:space="preserve">, with population estimates exceeding 140 million. Individual small fragments will not destroy a spacecraft outright, but they cause significant cumulative damage. Solar arrays, optical surfaces, thermal control coatings, and external sensors all degrade under continuous bombardment by small particles. The Long Duration Exposure Facility, a passive satellite retrieved by the Space Shuttle in 1990 after nearly six years in </w:t>
      </w:r>
      <w:r w:rsidRPr="00C36639">
        <w:rPr>
          <w:rFonts w:ascii="Garamond" w:eastAsia="Garamond" w:hAnsi="Garamond" w:cs="Garamond"/>
          <w:kern w:val="0"/>
          <w:sz w:val="22"/>
          <w:szCs w:val="22"/>
          <w14:ligatures w14:val="none"/>
        </w:rPr>
        <w:lastRenderedPageBreak/>
        <w:t>low Earth orbit, returned with an enormous number of small impacts that revealed both the density and the chemical composition of the small-debris population. The facility returned with more than 30,000 documented impacts across its 57 exposed experiments and trays. Analysis confirmed that at 476 kilometers altitude, the orbital debris flux for objects above 0.2 millimeters already exceeded the natural meteoroid flux by a factor of two to four, depending on the size range. This finding was the first large-scale empirical proof that debris, not nature, had become the dominant hazard for operational satellites in low Earth orbit. Subsequent shuttle missions, the windows of the International Space Station, and the surfaces of multiple research satellites have provided continuing data. The damage from small debris is rarely catastrophic on a per-impact basis. Still, it is the principal mechanism by which surfaces in orbit are progressively roughened, pitted, and eventually compromised.</w:t>
      </w:r>
    </w:p>
    <w:p w14:paraId="3AD749B6"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size categories are not perfectly distinct, and individual fragments span </w:t>
      </w:r>
      <w:proofErr w:type="gramStart"/>
      <w:r w:rsidRPr="00C36639">
        <w:rPr>
          <w:rFonts w:ascii="Garamond" w:eastAsia="Garamond" w:hAnsi="Garamond" w:cs="Garamond"/>
          <w:kern w:val="0"/>
          <w:sz w:val="22"/>
          <w:szCs w:val="22"/>
          <w14:ligatures w14:val="none"/>
        </w:rPr>
        <w:t>a continuous</w:t>
      </w:r>
      <w:proofErr w:type="gramEnd"/>
      <w:r w:rsidRPr="00C36639">
        <w:rPr>
          <w:rFonts w:ascii="Garamond" w:eastAsia="Garamond" w:hAnsi="Garamond" w:cs="Garamond"/>
          <w:kern w:val="0"/>
          <w:sz w:val="22"/>
          <w:szCs w:val="22"/>
          <w14:ligatures w14:val="none"/>
        </w:rPr>
        <w:t xml:space="preserve"> distribution. The conventional cutoffs, one millimeter, one centimeter, and ten centimeters, reflect breakpoints in observation and engineering response, not natural breaks in the debris population itself. A complete debris environment model must integrate over all sizes, with each size’s contribution determined by the population density, the relative-velocity distribution, and the engineering significance of impacts at that size. Modern environment models, including NASA’s ORDEM and ESA’s MASTER, perform this integration explicitly, producing flux predictions tailored to specific spacecraft designs and operational orbits.</w:t>
      </w:r>
    </w:p>
    <w:p w14:paraId="7033A840" w14:textId="77777777" w:rsidR="00C36639" w:rsidRPr="00C36639" w:rsidRDefault="00C36639" w:rsidP="00C36639">
      <w:pPr>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Categorization by Origin</w:t>
      </w:r>
    </w:p>
    <w:p w14:paraId="08CA96FD" w14:textId="77777777" w:rsidR="00C36639" w:rsidRPr="00C36639" w:rsidRDefault="00C36639" w:rsidP="00C36639">
      <w:pPr>
        <w:widowControl w:val="0"/>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An alternative classification organizes the debris population by how the objects were generated. Mission-related debris consists of objects deliberately released during normal spacecraft operations. This category includes spent rocket stages, payload adapter rings, deployment springs, lens covers ejected from optical sensors, fasteners released during separation events, and similar items. Mission-related debris is, in principle, the easiest category to address. Design changes can eliminate releases, and operational practices can ensure that necessary releases occur in orbits where decay is rapid. The debris-mitigation guidelines published by the IADC and adopted by most space agencies emphasize eliminating mission-related debris as a primary objective. Compliance has improved dramatically over the past two decades, and the contribution of new mission-related debris to the population has fallen sharply relative to fragmentation events. However, the historical population from earlier decades remains.</w:t>
      </w:r>
    </w:p>
    <w:p w14:paraId="5F0F2593"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Collision-generated debris consists of fragments produced when two objects in orbit collide. The 2009 Iridium-Cosmos collision is a canonical example: two intact satellites, approximately 700 kilograms (1,543 pounds) and 950 kilograms (2,094 pounds), collided at approximately 11.7 kilometers per second (7.3 miles per second), producing approximately 1,800 cataloged fragments and an estimated population of much smaller debris numbering in the tens of thousands. Collision-generated debris is the most concerning category from a long-term sustainability standpoint because each fragment is itself a collision risk that can produce further fragments, a dynamic described by the Kessler syndrome and examined in detail in Chapter 4.</w:t>
      </w:r>
    </w:p>
    <w:p w14:paraId="6321650C"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Explosion-generated debris consists of fragments produced when objects in orbit experience internal failures that cause disintegration. The most common cause is residual propellant in spent rocket upper stages. Pressurized propellant tanks subjected to thermal cycling and material degradation have, on numerous occasions, exploded years or decades after their original missions. The Delta upper-stage explosion problem of the 1970s and 1980s was the classic case, and modern passivation procedures, including venting residual propellant after spacecraft separation, were developed specifically to prevent such events. Battery explosions are a related cause, though less common. The 220 in-orbit fragmentation events tracked by ESA over the past </w:t>
      </w:r>
      <w:r w:rsidRPr="00C36639">
        <w:rPr>
          <w:rFonts w:ascii="Garamond" w:eastAsia="Garamond" w:hAnsi="Garamond" w:cs="Garamond"/>
          <w:kern w:val="0"/>
          <w:sz w:val="22"/>
          <w:szCs w:val="22"/>
          <w14:ligatures w14:val="none"/>
        </w:rPr>
        <w:lastRenderedPageBreak/>
        <w:t>two decades include a considerable proportion of explosion events, and the rate of new explosions has fallen significantly as passivation has become standard practice.</w:t>
      </w:r>
    </w:p>
    <w:p w14:paraId="132E65BD"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Anti-satellite test debris is a distinct subcategory of fragmentation debris that warrants separate consideration because of its strategic context and outsized contribution to the historical population. The Chinese anti-satellite test on January 11, 2007, against the Fengyun-1C weather satellite at an altitude of approximately 537 miles (865 kilometers) produced more than 3,500 cataloged fragments. The Russian anti-satellite test on November 15, 2021, against the defunct Cosmos 1408 satellite at an altitude of approximately 480 kilometers (298 miles) produced more than 1,500 cataloged fragments. These events are not accidents. They are the product of deliberate strategic decisions by national governments, made with full knowledge of the debris consequences, and they account for a large share of the total cataloged debris in low Earth orbit.</w:t>
      </w:r>
    </w:p>
    <w:p w14:paraId="7601B81B"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Degraded materials constitute a less dramatic but persistent category. Spacecraft surfaces, multi-layer insulation, paint, adhesives, and composite structures degrade in the orbital environment due to atomic oxygen, ultraviolet radiation, and thermal cycling. Particles are released continuously over a satellite's operational lifetime, contributing to the small-debris background. Aluminum oxide particles released during solid rocket motor firings also contribute. None of these sources alone dominates the debris environment, but their cumulative effect over thousands of missions is substantial.</w:t>
      </w:r>
    </w:p>
    <w:p w14:paraId="3B00E9B5"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The Physics of Hypervelocity Impact</w:t>
      </w:r>
    </w:p>
    <w:p w14:paraId="2D128F02"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Space debris poses severe risks to spacecraft because of the high relative velocities at which orbital objects move. An object in low Earth orbit travels at approximately 7.7 kilometers per second (4.8 miles per second), or about 28,000 kilometers per hour (17,398 miles per hour). Two objects in different orbital planes may approach each other at relative velocities exceeding 14 kilometers per second (8.7 miles per second). At those speeds, the kinetic energy of even small fragments is extraordinary. The standard expression for kinetic energy, one-half the mass times the velocity squared, makes this clear: doubling the velocity quadruples the energy, and orbital velocities are far higher than any encountered in terrestrial impacts.</w:t>
      </w:r>
    </w:p>
    <w:p w14:paraId="3C0519CA"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A simple calculation illustrates the magnitudes involved. A one-gram fragment moving at 10 kilometers per second (6.2 miles per second) relative to a target carries 50 kilojoules of kinetic energy, equivalent to the energy of a 10-kilogram (22-pound) bowling ball thrown at 100 meters per second (224 miles per hour). A 100-gram fragment at the same velocity carries 5 megajoules, equivalent to the kinetic energy of a small car at highway speed. A 1-kilogram (2.2-pound) fragment carries 50 megajoules. These energies are concentrated, </w:t>
      </w:r>
      <w:proofErr w:type="gramStart"/>
      <w:r w:rsidRPr="00C36639">
        <w:rPr>
          <w:rFonts w:ascii="Garamond" w:eastAsia="Garamond" w:hAnsi="Garamond" w:cs="Garamond"/>
          <w:kern w:val="0"/>
          <w:sz w:val="22"/>
          <w:szCs w:val="22"/>
          <w14:ligatures w14:val="none"/>
        </w:rPr>
        <w:t>at the moment</w:t>
      </w:r>
      <w:proofErr w:type="gramEnd"/>
      <w:r w:rsidRPr="00C36639">
        <w:rPr>
          <w:rFonts w:ascii="Garamond" w:eastAsia="Garamond" w:hAnsi="Garamond" w:cs="Garamond"/>
          <w:kern w:val="0"/>
          <w:sz w:val="22"/>
          <w:szCs w:val="22"/>
          <w14:ligatures w14:val="none"/>
        </w:rPr>
        <w:t xml:space="preserve"> of impact, into volumes on the order of the projectile itself, with consequences that no conventional structural analogy adequately captures.</w:t>
      </w:r>
    </w:p>
    <w:p w14:paraId="2ABB40F6"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Hypervelocity impact, the term used in the engineering literature for impacts at velocities above approximately 3 kilometers per second (1.9 miles per second), behaves differently from conventional impact. Below the hypervelocity threshold, the projectile and target deform in ways consistent with conventional ballistics, and shielding can be designed to absorb kinetic energy through material strength and yielding. Above the threshold, the impact energy is high enough that both the projectile and the affected portion of the target temporarily behave as fluids. The projectile fragments completely; the target material in the impact region vaporizes, melts, or shatters. The damage volume in the target greatly exceeds the projectile's volume, and the damage extends well beyond the line of impact through the cloud of debris generated by the impact itself.</w:t>
      </w:r>
    </w:p>
    <w:p w14:paraId="6CB7EA64"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Whipple shield, invented by astronomer Fred Whipple in 1947 and extensively refined for spacecraft applications, exploits this physics. A thin outer layer is positioned at a standoff distance from the spacecraft pressure hull. An incoming projectile strikes the outer layer at hypervelocity, and the resulting energy transfer disintegrates and disperses the projectile into a cloud of much smaller particles. The cloud expands across the </w:t>
      </w:r>
      <w:r w:rsidRPr="00C36639">
        <w:rPr>
          <w:rFonts w:ascii="Garamond" w:eastAsia="Garamond" w:hAnsi="Garamond" w:cs="Garamond"/>
          <w:kern w:val="0"/>
          <w:sz w:val="22"/>
          <w:szCs w:val="22"/>
          <w14:ligatures w14:val="none"/>
        </w:rPr>
        <w:lastRenderedPageBreak/>
        <w:t>standoff gap and strikes the inner hull over a much larger area, distributing enough energy that the inner hull can absorb the impact through conventional structural response. Modified Whipple shields with multiple layers, or with intermediate fabric layers such as Nextel or Kevlar, provide adequate protection against debris up to approximately one centimeter (half an inch) in diameter at characteristic orbital velocities. The walls of the International Space Station incorporate Whipple shielding throughout the crew-occupied modules and across most external surfaces.</w:t>
      </w:r>
    </w:p>
    <w:p w14:paraId="66A7F40A"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Above the protective threshold, no practical shielding works. A two-centimeter (three-quarters of an inch) aluminum fragment cannot be stopped by any shield design that fits within the mass budget of an operational spacecraft. Therefore, defense against larger fragments must be operational rather than structural: the fragment must be tracked, the conjunction must be predicted, and the spacecraft must maneuver out of the threat's path. The full chain of capabilities that support this defense, including tracking, cataloging, prediction, decision-making, and maneuver execution, is examined in detail in Chapter 9.</w:t>
      </w:r>
    </w:p>
    <w:p w14:paraId="544A0B42"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Why the Numbers Matter</w:t>
      </w:r>
    </w:p>
    <w:p w14:paraId="379EC4D5"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lower bound for routine tracking, approximately ten centimeters (four inches) in low Earth orbit, has direct operational consequences. Objects above this threshold can be cataloged, their future trajectories </w:t>
      </w:r>
      <w:proofErr w:type="gramStart"/>
      <w:r w:rsidRPr="00C36639">
        <w:rPr>
          <w:rFonts w:ascii="Garamond" w:eastAsia="Garamond" w:hAnsi="Garamond" w:cs="Garamond"/>
          <w:kern w:val="0"/>
          <w:sz w:val="22"/>
          <w:szCs w:val="22"/>
          <w14:ligatures w14:val="none"/>
        </w:rPr>
        <w:t>predicted, and</w:t>
      </w:r>
      <w:proofErr w:type="gramEnd"/>
      <w:r w:rsidRPr="00C36639">
        <w:rPr>
          <w:rFonts w:ascii="Garamond" w:eastAsia="Garamond" w:hAnsi="Garamond" w:cs="Garamond"/>
          <w:kern w:val="0"/>
          <w:sz w:val="22"/>
          <w:szCs w:val="22"/>
          <w14:ligatures w14:val="none"/>
        </w:rPr>
        <w:t xml:space="preserve"> screened against active satellite trajectories to identify close approaches. Operators can then perform avoidance maneuvers, propellant permitting, when conjunction probabilities exceed acceptable thresholds. Objects below the threshold cannot be tracked individually, and their statistical distributions must be inferred from radar measurements of the population as a whole and from impact damage on the surfaces of returned objects.</w:t>
      </w:r>
    </w:p>
    <w:p w14:paraId="60F201C2"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medium debris population, the 1.2 million objects between approximately 1 and 10 centimeters (.5 inches to 4 inches), is the critical gap. These objects can defeat shielding but cannot be tracked. Spacecraft designers cannot avoid them or </w:t>
      </w:r>
      <w:proofErr w:type="gramStart"/>
      <w:r w:rsidRPr="00C36639">
        <w:rPr>
          <w:rFonts w:ascii="Garamond" w:eastAsia="Garamond" w:hAnsi="Garamond" w:cs="Garamond"/>
          <w:kern w:val="0"/>
          <w:sz w:val="22"/>
          <w:szCs w:val="22"/>
          <w14:ligatures w14:val="none"/>
        </w:rPr>
        <w:t>armor against</w:t>
      </w:r>
      <w:proofErr w:type="gramEnd"/>
      <w:r w:rsidRPr="00C36639">
        <w:rPr>
          <w:rFonts w:ascii="Garamond" w:eastAsia="Garamond" w:hAnsi="Garamond" w:cs="Garamond"/>
          <w:kern w:val="0"/>
          <w:sz w:val="22"/>
          <w:szCs w:val="22"/>
          <w14:ligatures w14:val="none"/>
        </w:rPr>
        <w:t xml:space="preserve"> them. The only mitigation is to reduce the population itself, which means preventing the events that generate it. This is the operational reason the debris policy emphasizes eliminating fragmentation events as aggressively as it does. Each major fragmentation event adds thousands of trackable fragments and </w:t>
      </w:r>
      <w:proofErr w:type="gramStart"/>
      <w:r w:rsidRPr="00C36639">
        <w:rPr>
          <w:rFonts w:ascii="Garamond" w:eastAsia="Garamond" w:hAnsi="Garamond" w:cs="Garamond"/>
          <w:kern w:val="0"/>
          <w:sz w:val="22"/>
          <w:szCs w:val="22"/>
          <w14:ligatures w14:val="none"/>
        </w:rPr>
        <w:t>tens of thousands</w:t>
      </w:r>
      <w:proofErr w:type="gramEnd"/>
      <w:r w:rsidRPr="00C36639">
        <w:rPr>
          <w:rFonts w:ascii="Garamond" w:eastAsia="Garamond" w:hAnsi="Garamond" w:cs="Garamond"/>
          <w:kern w:val="0"/>
          <w:sz w:val="22"/>
          <w:szCs w:val="22"/>
          <w14:ligatures w14:val="none"/>
        </w:rPr>
        <w:t xml:space="preserve"> of medium fragments to the population, and the medium fragments persist as a permanent operational hazard for the lifetime of the affected altitude band.</w:t>
      </w:r>
    </w:p>
    <w:p w14:paraId="3F3A5C46"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composition of the tracked population is instructive. According to ESA’s 2025 figures, approximately 220 in-orbit fragmentation events have been recorded over the past two decades, and more than 3,000 trackable fragments were added to the catalog in 2024 alone. Roughly two-thirds of cataloged objects originate from a relatively small number of identifiable events: deliberate anti-satellite weapon tests, unintended collisions, and propellant-tank explosions. The implication is important. The space debris problem is not a diffuse byproduct of routine spaceflight. It is dominated by a manageable number of discrete events that are, in principle, preventable. A properly designed mitigation policy addresses the </w:t>
      </w:r>
      <w:proofErr w:type="gramStart"/>
      <w:r w:rsidRPr="00C36639">
        <w:rPr>
          <w:rFonts w:ascii="Garamond" w:eastAsia="Garamond" w:hAnsi="Garamond" w:cs="Garamond"/>
          <w:kern w:val="0"/>
          <w:sz w:val="22"/>
          <w:szCs w:val="22"/>
          <w14:ligatures w14:val="none"/>
        </w:rPr>
        <w:t>highest-leverage</w:t>
      </w:r>
      <w:proofErr w:type="gramEnd"/>
      <w:r w:rsidRPr="00C36639">
        <w:rPr>
          <w:rFonts w:ascii="Garamond" w:eastAsia="Garamond" w:hAnsi="Garamond" w:cs="Garamond"/>
          <w:kern w:val="0"/>
          <w:sz w:val="22"/>
          <w:szCs w:val="22"/>
          <w14:ligatures w14:val="none"/>
        </w:rPr>
        <w:t xml:space="preserve"> causes first.</w:t>
      </w:r>
    </w:p>
    <w:p w14:paraId="3CF2B961"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Radar measurements of the small-debris population, conducted by ground-based phased-array radars and supplemented by impact-damage measurements on returned spacecraft surfaces, indicate that the small-debris flux varies by factors of three to ten across the principal altitude bands of low Earth orbit. The flux is highest near 800 kilometers (497 miles), where long-lived fragments from the Fengyun-1C and Iridium-Cosmos events are concentrated, and lower at higher altitudes, where atmospheric drag rapidly clears fragments. The flux distribution shapes the design of any spacecraft operating in low Earth orbit: shielding must be sized to the flux at the operational altitude, and the orientation of shielded surfaces must reflect the expected impact direction, which in turn depends on the orbital geometry of the dominant debris populations.</w:t>
      </w:r>
    </w:p>
    <w:p w14:paraId="46BE90CF"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lastRenderedPageBreak/>
        <w:t>A Three-Part Problem</w:t>
      </w:r>
    </w:p>
    <w:p w14:paraId="17C6357C"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space debris challenge can be understood as three interlocking problems. The first concerns the existing population: the objects already in orbit, accumulated over sixty-eight years of launches. This population includes large, defunct satellites and rocket bodies that pose an outsized risk because each, if struck, would generate thousands of new fragments. The second problem is the rate of new debris generation: the small but persistent flow of fragments from explosions, collisions, and operational releases that </w:t>
      </w:r>
      <w:proofErr w:type="gramStart"/>
      <w:r w:rsidRPr="00C36639">
        <w:rPr>
          <w:rFonts w:ascii="Garamond" w:eastAsia="Garamond" w:hAnsi="Garamond" w:cs="Garamond"/>
          <w:kern w:val="0"/>
          <w:sz w:val="22"/>
          <w:szCs w:val="22"/>
          <w14:ligatures w14:val="none"/>
        </w:rPr>
        <w:t>adds</w:t>
      </w:r>
      <w:proofErr w:type="gramEnd"/>
      <w:r w:rsidRPr="00C36639">
        <w:rPr>
          <w:rFonts w:ascii="Garamond" w:eastAsia="Garamond" w:hAnsi="Garamond" w:cs="Garamond"/>
          <w:kern w:val="0"/>
          <w:sz w:val="22"/>
          <w:szCs w:val="22"/>
          <w14:ligatures w14:val="none"/>
        </w:rPr>
        <w:t xml:space="preserve"> to the population each year, even when no serious events occur. The third problem is the trajectory of future activity: the rapid expansion of large satellite constellations, the increasing diversity of spacefaring nations and commercial operators, and the consequent rise in launch traffic and orbital density.</w:t>
      </w:r>
    </w:p>
    <w:p w14:paraId="29FE992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The three problems require distinct responses. The large-object population can be reduced through active debris removal, guided by international organizations such as the United Nations Office for Outer Space Affairs (UNOOSA) and by treaties such as the Outer Space Treaty. These missions are technically demanding and have only recently begun to move beyond the laboratory; Chapter 11 examines the current state of the field and the prospects for scaling. The rate of new debris generation is addressed primarily through mitigation: design standards that prevent on-orbit explosions, operational practices that minimize debris release, and disposal requirements that move spacecraft out of crowded regions at the end of life. Chapters 10, 7, and 8 examine the regulatory frameworks, including international guidelines and national policies, that codify these responses. The trajectory of future activity is shaped by policy: domestic licensing rules, international guidelines, traffic coordination, and the slow construction of governance frameworks adequate to a multipolar, increasingly commercial spacefaring world.</w:t>
      </w:r>
    </w:p>
    <w:p w14:paraId="27477053"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No single response solves the problem. Mitigation alone cannot remove debris already present. Removal alone cannot keep pace with the new generation if mitigation fails. Policy alone moves no mass. The integrated response the situation demands draws on engineering, operations, law, economics, and international diplomacy in roughly equal </w:t>
      </w:r>
      <w:proofErr w:type="gramStart"/>
      <w:r w:rsidRPr="00C36639">
        <w:rPr>
          <w:rFonts w:ascii="Garamond" w:eastAsia="Garamond" w:hAnsi="Garamond" w:cs="Garamond"/>
          <w:kern w:val="0"/>
          <w:sz w:val="22"/>
          <w:szCs w:val="22"/>
          <w14:ligatures w14:val="none"/>
        </w:rPr>
        <w:t>measure</w:t>
      </w:r>
      <w:proofErr w:type="gramEnd"/>
      <w:r w:rsidRPr="00C36639">
        <w:rPr>
          <w:rFonts w:ascii="Garamond" w:eastAsia="Garamond" w:hAnsi="Garamond" w:cs="Garamond"/>
          <w:kern w:val="0"/>
          <w:sz w:val="22"/>
          <w:szCs w:val="22"/>
          <w14:ligatures w14:val="none"/>
        </w:rPr>
        <w:t>. This book treats each of those domains in turn, aiming to give readers a working understanding of how the elements fit together and where the principal leverage points lie.</w:t>
      </w:r>
    </w:p>
    <w:p w14:paraId="7AACE83B"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 xml:space="preserve">The Stakes </w:t>
      </w:r>
      <w:proofErr w:type="gramStart"/>
      <w:r w:rsidRPr="00C36639">
        <w:rPr>
          <w:rFonts w:ascii="Garamond" w:eastAsia="Garamond" w:hAnsi="Garamond" w:cs="Garamond"/>
          <w:b/>
          <w:bCs/>
          <w:kern w:val="0"/>
          <w:sz w:val="28"/>
          <w:szCs w:val="28"/>
          <w14:ligatures w14:val="none"/>
        </w:rPr>
        <w:t>for</w:t>
      </w:r>
      <w:proofErr w:type="gramEnd"/>
      <w:r w:rsidRPr="00C36639">
        <w:rPr>
          <w:rFonts w:ascii="Garamond" w:eastAsia="Garamond" w:hAnsi="Garamond" w:cs="Garamond"/>
          <w:b/>
          <w:bCs/>
          <w:kern w:val="0"/>
          <w:sz w:val="28"/>
          <w:szCs w:val="28"/>
          <w14:ligatures w14:val="none"/>
        </w:rPr>
        <w:t xml:space="preserve"> Modern Civilization</w:t>
      </w:r>
    </w:p>
    <w:p w14:paraId="56561598"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Space debris can seem like a niche concern, a technical problem of interest only to satellite operators and aerospace engineers. The reality is that the satellite infrastructure now in orbit underwrites much of contemporary life. Global Positioning System satellites and their European, Russian, and Chinese counterparts provide the precise timing on which financial markets, electrical grids, and telecommunications networks depend, as well as the navigation services that have reshaped logistics, agriculture, and personal mobility. Weather satellites provide the observational data that feed every modern forecast and have measurably reduced the death toll from severe storms over the past forty years. Earth observation satellites monitor crops, deforestation, sea ice, and emissions. Communications satellites carry voice, data, and broadcast traffic to regions that terrestrial infrastructure cannot reach. Scientific satellites have transformed astronomy, planetary science, and the study of Earth’s climate.</w:t>
      </w:r>
    </w:p>
    <w:p w14:paraId="3F87534B"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dependence runs deeper than most users recognize. The timing signal broadcast by GPS satellites synchronizes cellular networks that route mobile calls, trading systems that execute orders on financial exchanges, and </w:t>
      </w:r>
      <w:proofErr w:type="spellStart"/>
      <w:r w:rsidRPr="00C36639">
        <w:rPr>
          <w:rFonts w:ascii="Garamond" w:eastAsia="Garamond" w:hAnsi="Garamond" w:cs="Garamond"/>
          <w:kern w:val="0"/>
          <w:sz w:val="22"/>
          <w:szCs w:val="22"/>
          <w14:ligatures w14:val="none"/>
        </w:rPr>
        <w:t>synchrophasor</w:t>
      </w:r>
      <w:proofErr w:type="spellEnd"/>
      <w:r w:rsidRPr="00C36639">
        <w:rPr>
          <w:rFonts w:ascii="Garamond" w:eastAsia="Garamond" w:hAnsi="Garamond" w:cs="Garamond"/>
          <w:kern w:val="0"/>
          <w:sz w:val="22"/>
          <w:szCs w:val="22"/>
          <w14:ligatures w14:val="none"/>
        </w:rPr>
        <w:t xml:space="preserve"> measurements (time-synchronized measurements of electrical voltage and current waveforms used to monitor and analyze power grid conditions in real time), enabling electrical grid operators to monitor power flow. The Federal Reserve’s wire transfer system, the New York Stock Exchange’s matching engine, and the synchronized timestamping of every credit card transaction in the world all depend, </w:t>
      </w:r>
      <w:r w:rsidRPr="00C36639">
        <w:rPr>
          <w:rFonts w:ascii="Garamond" w:eastAsia="Garamond" w:hAnsi="Garamond" w:cs="Garamond"/>
          <w:kern w:val="0"/>
          <w:sz w:val="22"/>
          <w:szCs w:val="22"/>
          <w14:ligatures w14:val="none"/>
        </w:rPr>
        <w:lastRenderedPageBreak/>
        <w:t>directly or indirectly, on the same satellite network that provides driving directions on a smartphone. The European Galileo, Russian GLONASS, and Chinese BeiDou constellations provide system-level redundancy, but their dependence on satellite-based timing is structural and difficult to replace.</w:t>
      </w:r>
    </w:p>
    <w:p w14:paraId="45932D60"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Earth observation satellites have transformed industries </w:t>
      </w:r>
      <w:proofErr w:type="gramStart"/>
      <w:r w:rsidRPr="00C36639">
        <w:rPr>
          <w:rFonts w:ascii="Garamond" w:eastAsia="Garamond" w:hAnsi="Garamond" w:cs="Garamond"/>
          <w:kern w:val="0"/>
          <w:sz w:val="22"/>
          <w:szCs w:val="22"/>
          <w14:ligatures w14:val="none"/>
        </w:rPr>
        <w:t>in</w:t>
      </w:r>
      <w:proofErr w:type="gramEnd"/>
      <w:r w:rsidRPr="00C36639">
        <w:rPr>
          <w:rFonts w:ascii="Garamond" w:eastAsia="Garamond" w:hAnsi="Garamond" w:cs="Garamond"/>
          <w:kern w:val="0"/>
          <w:sz w:val="22"/>
          <w:szCs w:val="22"/>
          <w14:ligatures w14:val="none"/>
        </w:rPr>
        <w:t xml:space="preserve"> ways the public rarely </w:t>
      </w:r>
      <w:proofErr w:type="gramStart"/>
      <w:r w:rsidRPr="00C36639">
        <w:rPr>
          <w:rFonts w:ascii="Garamond" w:eastAsia="Garamond" w:hAnsi="Garamond" w:cs="Garamond"/>
          <w:kern w:val="0"/>
          <w:sz w:val="22"/>
          <w:szCs w:val="22"/>
          <w14:ligatures w14:val="none"/>
        </w:rPr>
        <w:t>understands</w:t>
      </w:r>
      <w:proofErr w:type="gramEnd"/>
      <w:r w:rsidRPr="00C36639">
        <w:rPr>
          <w:rFonts w:ascii="Garamond" w:eastAsia="Garamond" w:hAnsi="Garamond" w:cs="Garamond"/>
          <w:kern w:val="0"/>
          <w:sz w:val="22"/>
          <w:szCs w:val="22"/>
          <w14:ligatures w14:val="none"/>
        </w:rPr>
        <w:t>. Modern agriculture uses satellite imagery for variable-rate fertilizer application, irrigation planning, and harvest scheduling, yielding measurable productivity gains that have helped feed a growing global population. Insurance companies use satellite data to verify damage claims after natural disasters and to underwrite agricultural risk. Logistics companies use satellite imagery to monitor port congestion, infrastructure conditions, and supply chain disruptions. Environmental agencies use satellite data to monitor air quality, deforestation rates, and the retreat of glaciers and ice sheets. Each of these applications depends on the continuous availability of satellite data; an orbital environment that disrupts that availability would have economic consequences far beyond the satellite industry itself.</w:t>
      </w:r>
    </w:p>
    <w:p w14:paraId="3A40A081"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A degraded orbital environment threatens all of this. The threat is not a single catastrophic event suddenly turning off the world’s satellites; it is more insidious. As debris density rises, satellites must perform more avoidance maneuvers, consuming propellant that would otherwise extend their operational lives. Insurance premiums rise, increasing the cost of every commercial mission. New satellite designs must include heavier shielding or more redundant systems, </w:t>
      </w:r>
      <w:proofErr w:type="gramStart"/>
      <w:r w:rsidRPr="00C36639">
        <w:rPr>
          <w:rFonts w:ascii="Garamond" w:eastAsia="Garamond" w:hAnsi="Garamond" w:cs="Garamond"/>
          <w:kern w:val="0"/>
          <w:sz w:val="22"/>
          <w:szCs w:val="22"/>
          <w14:ligatures w14:val="none"/>
        </w:rPr>
        <w:t>increasing</w:t>
      </w:r>
      <w:proofErr w:type="gramEnd"/>
      <w:r w:rsidRPr="00C36639">
        <w:rPr>
          <w:rFonts w:ascii="Garamond" w:eastAsia="Garamond" w:hAnsi="Garamond" w:cs="Garamond"/>
          <w:kern w:val="0"/>
          <w:sz w:val="22"/>
          <w:szCs w:val="22"/>
          <w14:ligatures w14:val="none"/>
        </w:rPr>
        <w:t xml:space="preserve"> mass and reducing capability per dollar. The economics of doing business in orbit gradually deteriorate. At some threshold of density, the risk-adjusted cost of operating in a particular orbit exceeds the value of the services provided from that orbit, and the orbit is effectively abandoned. The question facing the spacefaring world is not whether such thresholds exist, but where they are and how soon they will be reached.</w:t>
      </w:r>
    </w:p>
    <w:p w14:paraId="5C5A4C87"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The Concept of Sustainability in Orbit</w:t>
      </w:r>
    </w:p>
    <w:p w14:paraId="0F36C4D1"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The phrase “space sustainability” entered serious policy discussion only in the past two decades. Its central proposition is that the orbital environment, like the atmosphere and the oceans, is a finite resource vulnerable to depletion from cumulative human activity. The United Nations Committee on the Peaceful Uses of Outer Space adopted the Guidelines for the Long-term Sustainability of Outer Space Activities in 2019, formalizing a framework that nations, agencies, and operators are expected to apply voluntarily. The guidelines address the regulatory environment, the safety of space operations, international cooperation, and scientific and technical cooperation. They do not have the force of a treaty, and compliance is uneven, but they represent the most coherent international statement of what responsible behavior in orbit entails.</w:t>
      </w:r>
    </w:p>
    <w:p w14:paraId="43293D5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Sustainability in this context is not aspirational language. It is a measurable property of the orbital environment that can, with appropriate engineering and policy, be maintained and, without those measures, will not be. The 2009 collision between the operational Iridium 33 communications satellite and the defunct Russian Cosmos 2251 produced approximately 1,800 cataloged fragments, many of which remain in orbit at altitudes around 789 kilometers (490 miles), well within the heart of the most heavily used low Earth orbit shells. The 2007 Chinese anti-satellite test against the Fengyun-1C weather satellite produced more than 3,500 cataloged fragments at 865 kilometers (537 miles), of which approximately 2,800 are still tracked. These two events alone account for a substantial fraction of all current debris in low Earth orbit. They are practical illustrations of what happens when sustainability is treated as somebody else’s problem.</w:t>
      </w:r>
    </w:p>
    <w:p w14:paraId="20244F3D"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sustainability framework has been operationalized through several complementary mechanisms. The Inter-Agency Space Debris Coordination Committee’s Mitigation Guidelines, originally published in 2002 and revised in 2021, </w:t>
      </w:r>
      <w:proofErr w:type="gramStart"/>
      <w:r w:rsidRPr="00C36639">
        <w:rPr>
          <w:rFonts w:ascii="Garamond" w:eastAsia="Garamond" w:hAnsi="Garamond" w:cs="Garamond"/>
          <w:kern w:val="0"/>
          <w:sz w:val="22"/>
          <w:szCs w:val="22"/>
          <w14:ligatures w14:val="none"/>
        </w:rPr>
        <w:t>provide</w:t>
      </w:r>
      <w:proofErr w:type="gramEnd"/>
      <w:r w:rsidRPr="00C36639">
        <w:rPr>
          <w:rFonts w:ascii="Garamond" w:eastAsia="Garamond" w:hAnsi="Garamond" w:cs="Garamond"/>
          <w:kern w:val="0"/>
          <w:sz w:val="22"/>
          <w:szCs w:val="22"/>
          <w14:ligatures w14:val="none"/>
        </w:rPr>
        <w:t xml:space="preserve"> the technical baseline for spacecraft design and operations. National regulators, particularly in the United States and Europe, have begun to translate these guidelines into binding requirements </w:t>
      </w:r>
      <w:r w:rsidRPr="00C36639">
        <w:rPr>
          <w:rFonts w:ascii="Garamond" w:eastAsia="Garamond" w:hAnsi="Garamond" w:cs="Garamond"/>
          <w:kern w:val="0"/>
          <w:sz w:val="22"/>
          <w:szCs w:val="22"/>
          <w14:ligatures w14:val="none"/>
        </w:rPr>
        <w:lastRenderedPageBreak/>
        <w:t xml:space="preserve">through licensing rules. The Space Sustainability Rating program, originally launched by the World Economic Forum and now run by the École Polytechnique Fédérale de Lausanne in Switzerland, provides operators with a structured way to evaluate and publicly disclose the sustainability characteristics of their missions. None of these mechanisms is sufficient on </w:t>
      </w:r>
      <w:proofErr w:type="gramStart"/>
      <w:r w:rsidRPr="00C36639">
        <w:rPr>
          <w:rFonts w:ascii="Garamond" w:eastAsia="Garamond" w:hAnsi="Garamond" w:cs="Garamond"/>
          <w:kern w:val="0"/>
          <w:sz w:val="22"/>
          <w:szCs w:val="22"/>
          <w14:ligatures w14:val="none"/>
        </w:rPr>
        <w:t>its</w:t>
      </w:r>
      <w:proofErr w:type="gramEnd"/>
      <w:r w:rsidRPr="00C36639">
        <w:rPr>
          <w:rFonts w:ascii="Garamond" w:eastAsia="Garamond" w:hAnsi="Garamond" w:cs="Garamond"/>
          <w:kern w:val="0"/>
          <w:sz w:val="22"/>
          <w:szCs w:val="22"/>
          <w14:ligatures w14:val="none"/>
        </w:rPr>
        <w:t xml:space="preserve"> own; together, they constitute a developing infrastructure for the long-term governance of the orbital environment.</w:t>
      </w:r>
    </w:p>
    <w:p w14:paraId="2C0095F4"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Mega-Constellations and the Acceleration of Change</w:t>
      </w:r>
    </w:p>
    <w:p w14:paraId="2D856D5C"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The 2010s and 2020s have brought a structural change to the orbital environment more consequential than any single fragmentation event. The deployment of large satellite constellations, first by SpaceX with Starlink beginning in 2019, and subsequently by OneWeb, Amazon’s Project Kuiper (renamed Amazon Leo in November 2025), and a series of Chinese constellations, including Guowang and Qianfan, has roughly doubled the population of active satellites in orbit over about five years. As of mid-2026, Starlink operates approximately 10,400 to 10,500 active satellites; OneWeb operates approximately 648 satellites under the Eutelsat Group following a 2023 merger; and Amazon Leo is in active deployment, with approximately 302 production satellites in orbit by April 2026. Several thousand additional satellites are projected for the late 2020s.</w:t>
      </w:r>
    </w:p>
    <w:p w14:paraId="72C13357"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constellation era brings both new risks and new opportunities. The risks are obvious: more satellites mean more potential collisions, more avoidance maneuvers, and greater demand </w:t>
      </w:r>
      <w:proofErr w:type="gramStart"/>
      <w:r w:rsidRPr="00C36639">
        <w:rPr>
          <w:rFonts w:ascii="Garamond" w:eastAsia="Garamond" w:hAnsi="Garamond" w:cs="Garamond"/>
          <w:kern w:val="0"/>
          <w:sz w:val="22"/>
          <w:szCs w:val="22"/>
          <w14:ligatures w14:val="none"/>
        </w:rPr>
        <w:t>on</w:t>
      </w:r>
      <w:proofErr w:type="gramEnd"/>
      <w:r w:rsidRPr="00C36639">
        <w:rPr>
          <w:rFonts w:ascii="Garamond" w:eastAsia="Garamond" w:hAnsi="Garamond" w:cs="Garamond"/>
          <w:kern w:val="0"/>
          <w:sz w:val="22"/>
          <w:szCs w:val="22"/>
          <w14:ligatures w14:val="none"/>
        </w:rPr>
        <w:t xml:space="preserve"> the conjunction-screening infrastructure. The opportunities are less immediately visible but real. Modern constellation satellites are designed with disposal in mind, typically at altitudes where atmospheric decay will clear them within five to seven years after mission completion. They are equipped with propulsion adequate for collision avoidance and end-of-life disposal. They are operated by entities with strong commercial incentives to maintain a usable orbital environment. And the sheer scale of these operations has driven investment in autonomous collision avoidance, precise tracking, and traffic coordination, benefiting the entire community.</w:t>
      </w:r>
    </w:p>
    <w:p w14:paraId="78DB9766"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Whether the constellation era is, on balance, a positive or negative development for the debris environment will depend on how reliably operators meet their disposal commitments and how effectively the regulatory framework adapts to the scale of operations. The experience of the past five years has been mixed. The total number of in-orbit fragmentation events has risen in proportion to the number of satellites, suggesting that mitigation discipline has not kept pace. At the same time, the failure of even a small fraction of constellation satellites to perform end-of-life disposal could, over a decade or two, significantly increase the long-term debris population. The community is, in this respect, in the middle of a large and consequential experiment whose outcome will be visible only over the coming decades.</w:t>
      </w:r>
    </w:p>
    <w:p w14:paraId="1B4C1B91"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International Efforts to Address Space Debris</w:t>
      </w:r>
    </w:p>
    <w:p w14:paraId="51CA58B9"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international response to the debris problem has progressed slowly but with measurable results. The Inter-Agency Space Debris Coordination Committee, founded in 1993, brings together the major national space agencies to coordinate on technical matters and develop common mitigation standards. The committee’s Space Debris Mitigation Guidelines, published in 2002 and revised in 2021, </w:t>
      </w:r>
      <w:proofErr w:type="gramStart"/>
      <w:r w:rsidRPr="00C36639">
        <w:rPr>
          <w:rFonts w:ascii="Garamond" w:eastAsia="Garamond" w:hAnsi="Garamond" w:cs="Garamond"/>
          <w:kern w:val="0"/>
          <w:sz w:val="22"/>
          <w:szCs w:val="22"/>
          <w14:ligatures w14:val="none"/>
        </w:rPr>
        <w:t>provide</w:t>
      </w:r>
      <w:proofErr w:type="gramEnd"/>
      <w:r w:rsidRPr="00C36639">
        <w:rPr>
          <w:rFonts w:ascii="Garamond" w:eastAsia="Garamond" w:hAnsi="Garamond" w:cs="Garamond"/>
          <w:kern w:val="0"/>
          <w:sz w:val="22"/>
          <w:szCs w:val="22"/>
          <w14:ligatures w14:val="none"/>
        </w:rPr>
        <w:t xml:space="preserve"> the technical framework adopted by most national agencies and many commercial operators. The United Nations Committee on the Peaceful Uses of Outer Space adopted aligned guidelines in 2007 and the Long-term Sustainability Guidelines in 2019.</w:t>
      </w:r>
    </w:p>
    <w:p w14:paraId="5ABAA33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Treaty-level instruments addressing space activities, including the 1967 Outer Space Treaty, the 1972 Liability Convention, and the 1976 Registration Convention, predate the explicit recognition of debris as a sustainability problem and do not directly regulate debris generation. They, however, establish the legal framework within which subsequent debris-related instruments operate. The Outer Space Treaty’s prohibition </w:t>
      </w:r>
      <w:r w:rsidRPr="00C36639">
        <w:rPr>
          <w:rFonts w:ascii="Garamond" w:eastAsia="Garamond" w:hAnsi="Garamond" w:cs="Garamond"/>
          <w:kern w:val="0"/>
          <w:sz w:val="22"/>
          <w:szCs w:val="22"/>
          <w14:ligatures w14:val="none"/>
        </w:rPr>
        <w:lastRenderedPageBreak/>
        <w:t xml:space="preserve">on national appropriation of celestial bodies, its requirement of state responsibility for the activities of national operators, and its preservation of space for peaceful purposes provide the foundation for contemporary debris policy. The 1972 Liability Convention establishes that launching states are </w:t>
      </w:r>
      <w:proofErr w:type="gramStart"/>
      <w:r w:rsidRPr="00C36639">
        <w:rPr>
          <w:rFonts w:ascii="Garamond" w:eastAsia="Garamond" w:hAnsi="Garamond" w:cs="Garamond"/>
          <w:kern w:val="0"/>
          <w:sz w:val="22"/>
          <w:szCs w:val="22"/>
          <w14:ligatures w14:val="none"/>
        </w:rPr>
        <w:t>absolutely liable</w:t>
      </w:r>
      <w:proofErr w:type="gramEnd"/>
      <w:r w:rsidRPr="00C36639">
        <w:rPr>
          <w:rFonts w:ascii="Garamond" w:eastAsia="Garamond" w:hAnsi="Garamond" w:cs="Garamond"/>
          <w:kern w:val="0"/>
          <w:sz w:val="22"/>
          <w:szCs w:val="22"/>
          <w14:ligatures w14:val="none"/>
        </w:rPr>
        <w:t xml:space="preserve"> for damage caused by their space objects on the surface of the Earth and fault-liable for damage caused in space. The Registration Convention requires states to maintain registries of objects launched into space and to provide that information to the United Nations.</w:t>
      </w:r>
    </w:p>
    <w:p w14:paraId="45159342"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Domestic regulatory frameworks have evolved more rapidly than international instruments. In September 2022, the U.S. Federal Communications Commission adopted a five-year disposal rule for low Earth orbit satellites licensed to provide service in the United States, replacing the previous twenty-five-year guideline with a more aggressive standard. The European Space Agency has progressively tightened its internal mission requirements through successive revisions of its Space Debris Mitigation Policy. The United Kingdom, France, Japan, and several other spacefaring states have adopted similar standards through their national licensing authorities. The pattern is one of progressive tightening at the national level, with international consensus following in a delayed manner. Chapter 7 examines the international instruments in detail; Chapter 8 examines the national frameworks.</w:t>
      </w:r>
    </w:p>
    <w:p w14:paraId="67BF2FFA"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The Artemis Accords, opened for signature in October 2020 and signed by more than fifty nations as of mid-2026, extend the international framework beyond Earth orbit to govern lunar and cislunar activity. The accords establish principles for transparency, interoperability, the registration of space objects, the release of scientific data, the preservation of historic sites, and the responsible disposal of orbital debris. Although the accords are not a binding treaty, they represent the most significant addition to the international space governance framework since the 2019 LTS Guidelines.</w:t>
      </w:r>
    </w:p>
    <w:p w14:paraId="2CA08454"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Emerging Solutions for Debris Mitigation</w:t>
      </w:r>
    </w:p>
    <w:p w14:paraId="250163A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technical responses to the debris problem fall into three broad categories: prevention, removal, and protection. Prevention encompasses the design and operational practices that prevent the generation of new debris. Modern satellites are equipped with propulsion systems capable of performing end-of-life disposal maneuvers, are designed to minimize the release of mission-related </w:t>
      </w:r>
      <w:proofErr w:type="gramStart"/>
      <w:r w:rsidRPr="00C36639">
        <w:rPr>
          <w:rFonts w:ascii="Garamond" w:eastAsia="Garamond" w:hAnsi="Garamond" w:cs="Garamond"/>
          <w:kern w:val="0"/>
          <w:sz w:val="22"/>
          <w:szCs w:val="22"/>
          <w14:ligatures w14:val="none"/>
        </w:rPr>
        <w:t>debris, and</w:t>
      </w:r>
      <w:proofErr w:type="gramEnd"/>
      <w:r w:rsidRPr="00C36639">
        <w:rPr>
          <w:rFonts w:ascii="Garamond" w:eastAsia="Garamond" w:hAnsi="Garamond" w:cs="Garamond"/>
          <w:kern w:val="0"/>
          <w:sz w:val="22"/>
          <w:szCs w:val="22"/>
          <w14:ligatures w14:val="none"/>
        </w:rPr>
        <w:t xml:space="preserve"> include passivation procedures that vent residual propellant and discharge batteries before the spacecraft becomes inactive. The trend in spacecraft design has steadily shifted toward more demanding mitigation standards, and the cost of compliance has declined as the industry has gained experience with relevant technologies.</w:t>
      </w:r>
    </w:p>
    <w:p w14:paraId="4159E9E5"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Active debris removal, the direct capture and de-orbit of existing derelict objects, has progressed from laboratory studies to operational demonstration over the past five years. Astroscale’s ELSA-d mission demonstrated rendezvous and capture of a cooperative client object in 2021. ClearSpace-1, originally scheduled to remove a VESPA payload adapter, was retargeted in April 2024 to the smaller PROBA-1 satellite after the original target was struck by debris and deemed unusable; the launch is now planned for 2028. The PRELUDE mission, announced in January 2026 and targeting a 2027 launch, will further demonstrate active removal capabilities. None of these missions, individually, materially changes the debris population. Their importance lies in establishing technical capabilities and regulatory precedents on which a future scaled removal capability could be built.</w:t>
      </w:r>
    </w:p>
    <w:p w14:paraId="316ECE4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Protection technologies, Whipple shields, redundant systems, and operational procedures provide the last line of defense against debris that prevention and removal cannot address. The walls of the International Space Station incorporate sophisticated shielding designs, validated by decades of impact data. Modern commercial satellites apply Whipple shielding selectively to critical components and in directions of expected impact. Onboard collision avoidance, increasingly automated, allows satellites to maneuver out of the path of identified </w:t>
      </w:r>
      <w:r w:rsidRPr="00C36639">
        <w:rPr>
          <w:rFonts w:ascii="Garamond" w:eastAsia="Garamond" w:hAnsi="Garamond" w:cs="Garamond"/>
          <w:kern w:val="0"/>
          <w:sz w:val="22"/>
          <w:szCs w:val="22"/>
          <w14:ligatures w14:val="none"/>
        </w:rPr>
        <w:lastRenderedPageBreak/>
        <w:t>threats with minimal operator intervention. The combination of shielding and avoidance reduces, but does not eliminate, the operational risk posed by debris.</w:t>
      </w:r>
    </w:p>
    <w:p w14:paraId="02ED778E"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A fourth, emerging category is environmental management, recognizing that the debris problem extends beyond orbital congestion to include the atmospheric and astronomical effects of space activity. Reentries deposit metals into the upper atmosphere; recent measurements have detected aluminum, lithium, and copper from reentered satellites in stratospheric aerosols at altitudes around 18 kilometers (11 miles). Large constellations contribute to light pollution that affects ground-based astronomy, with implications for both research and the cultural value of the night sky. Chapter 6 examines the reentry questions; Chapter 15 examines the astronomical and environmental effects in detail.</w:t>
      </w:r>
    </w:p>
    <w:p w14:paraId="6B1047AB"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A Map of the Book</w:t>
      </w:r>
    </w:p>
    <w:p w14:paraId="6A9A5718"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chapters that follow develop these themes in order. Chapter 2 traces the historical evolution of the orbital debris problem, from the first Cold War launches through the era of mega-constellations. It identifies when the problem was first recognized, when warnings were ignored, and when events ultimately forced the issue onto the international agenda. Chapter 3 examines the orbital regimes themselves, including low Earth orbit, medium Earth orbit, geostationary orbit, and highly elliptical orbits used for specialized missions, as well as the orbital mechanics that govern them and the distinctive vulnerabilities of each. Chapter 4 introduces </w:t>
      </w:r>
      <w:proofErr w:type="gramStart"/>
      <w:r w:rsidRPr="00C36639">
        <w:rPr>
          <w:rFonts w:ascii="Garamond" w:eastAsia="Garamond" w:hAnsi="Garamond" w:cs="Garamond"/>
          <w:kern w:val="0"/>
          <w:sz w:val="22"/>
          <w:szCs w:val="22"/>
          <w14:ligatures w14:val="none"/>
        </w:rPr>
        <w:t>the Kessler</w:t>
      </w:r>
      <w:proofErr w:type="gramEnd"/>
      <w:r w:rsidRPr="00C36639">
        <w:rPr>
          <w:rFonts w:ascii="Garamond" w:eastAsia="Garamond" w:hAnsi="Garamond" w:cs="Garamond"/>
          <w:kern w:val="0"/>
          <w:sz w:val="22"/>
          <w:szCs w:val="22"/>
          <w14:ligatures w14:val="none"/>
        </w:rPr>
        <w:t xml:space="preserve"> syndrome, the cascade scenario first described by Donald Kessler and Burton Cour-Palais in </w:t>
      </w:r>
      <w:proofErr w:type="gramStart"/>
      <w:r w:rsidRPr="00C36639">
        <w:rPr>
          <w:rFonts w:ascii="Garamond" w:eastAsia="Garamond" w:hAnsi="Garamond" w:cs="Garamond"/>
          <w:kern w:val="0"/>
          <w:sz w:val="22"/>
          <w:szCs w:val="22"/>
          <w14:ligatures w14:val="none"/>
        </w:rPr>
        <w:t>1978, and</w:t>
      </w:r>
      <w:proofErr w:type="gramEnd"/>
      <w:r w:rsidRPr="00C36639">
        <w:rPr>
          <w:rFonts w:ascii="Garamond" w:eastAsia="Garamond" w:hAnsi="Garamond" w:cs="Garamond"/>
          <w:kern w:val="0"/>
          <w:sz w:val="22"/>
          <w:szCs w:val="22"/>
          <w14:ligatures w14:val="none"/>
        </w:rPr>
        <w:t xml:space="preserve"> assesses how close the present environment is to the conditions Kessler described.</w:t>
      </w:r>
    </w:p>
    <w:p w14:paraId="3E0C1ABF"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Chapter 5 examines the principal fragmentation events of the satellite era as case studies, drawing out </w:t>
      </w:r>
      <w:proofErr w:type="gramStart"/>
      <w:r w:rsidRPr="00C36639">
        <w:rPr>
          <w:rFonts w:ascii="Garamond" w:eastAsia="Garamond" w:hAnsi="Garamond" w:cs="Garamond"/>
          <w:kern w:val="0"/>
          <w:sz w:val="22"/>
          <w:szCs w:val="22"/>
          <w14:ligatures w14:val="none"/>
        </w:rPr>
        <w:t>the technical</w:t>
      </w:r>
      <w:proofErr w:type="gramEnd"/>
      <w:r w:rsidRPr="00C36639">
        <w:rPr>
          <w:rFonts w:ascii="Garamond" w:eastAsia="Garamond" w:hAnsi="Garamond" w:cs="Garamond"/>
          <w:kern w:val="0"/>
          <w:sz w:val="22"/>
          <w:szCs w:val="22"/>
          <w14:ligatures w14:val="none"/>
        </w:rPr>
        <w:t xml:space="preserve"> and political lessons from each. Chapter 6 addresses reentry hazards and the atmospheric effects of reentering spacecraft, a topic that has become increasingly urgent in recent years. Chapters 7 and 8 examine the international and national legal frameworks that govern space activity and limit debris generation. Chapter 9 examines the technical infrastructure for tracking, space situational awareness, and space traffic management. Chapter 10 examines mitigation as a discipline of design and operations. Chapter 11 examines active debris removal and in-orbit servicing. Chapter 12 examines artificial intelligence, autonomy, and emerging technologies. Chapter 13 examines the economics, insurance, and sustainability ratings that translate environmental conditions into commercial decisions. Chapter 14 examines human spaceflight and the specific concerns of crewed missions. Chapter 15 examines astronomy, atmospheric pollution, and the broader environmental commons. Chapter 16 examines the cislunar environment and the path forward.</w:t>
      </w:r>
    </w:p>
    <w:p w14:paraId="716AE1DB"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What This Book Is Not</w:t>
      </w:r>
    </w:p>
    <w:p w14:paraId="2C6791E9"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A few clarifications are helpful. This is not a technical manual. The treatment of orbital mechanics, hypervelocity impact physics, and spacecraft engineering is detailed enough to support the argument but does not replace the textbooks and standards practitioners consult. This is not a polemic. The data </w:t>
      </w:r>
      <w:proofErr w:type="gramStart"/>
      <w:r w:rsidRPr="00C36639">
        <w:rPr>
          <w:rFonts w:ascii="Garamond" w:eastAsia="Garamond" w:hAnsi="Garamond" w:cs="Garamond"/>
          <w:kern w:val="0"/>
          <w:sz w:val="22"/>
          <w:szCs w:val="22"/>
          <w14:ligatures w14:val="none"/>
        </w:rPr>
        <w:t>support</w:t>
      </w:r>
      <w:proofErr w:type="gramEnd"/>
      <w:r w:rsidRPr="00C36639">
        <w:rPr>
          <w:rFonts w:ascii="Garamond" w:eastAsia="Garamond" w:hAnsi="Garamond" w:cs="Garamond"/>
          <w:kern w:val="0"/>
          <w:sz w:val="22"/>
          <w:szCs w:val="22"/>
          <w14:ligatures w14:val="none"/>
        </w:rPr>
        <w:t xml:space="preserve"> the argument that the orbital environment is at risk. Still, they permit a range of policy responses, and the book seeks to present the principal options </w:t>
      </w:r>
      <w:proofErr w:type="gramStart"/>
      <w:r w:rsidRPr="00C36639">
        <w:rPr>
          <w:rFonts w:ascii="Garamond" w:eastAsia="Garamond" w:hAnsi="Garamond" w:cs="Garamond"/>
          <w:kern w:val="0"/>
          <w:sz w:val="22"/>
          <w:szCs w:val="22"/>
          <w14:ligatures w14:val="none"/>
        </w:rPr>
        <w:t>fairly rather</w:t>
      </w:r>
      <w:proofErr w:type="gramEnd"/>
      <w:r w:rsidRPr="00C36639">
        <w:rPr>
          <w:rFonts w:ascii="Garamond" w:eastAsia="Garamond" w:hAnsi="Garamond" w:cs="Garamond"/>
          <w:kern w:val="0"/>
          <w:sz w:val="22"/>
          <w:szCs w:val="22"/>
          <w14:ligatures w14:val="none"/>
        </w:rPr>
        <w:t xml:space="preserve"> than advocate for one. This is not a forecast. Predictions about the trajectory of the debris environment depend on assumptions about future launch traffic, mitigation compliance, and removal capacity that no one can know with certainty. Where the book offers projections, it identifies the assumptions and sources.</w:t>
      </w:r>
    </w:p>
    <w:p w14:paraId="1C555B28"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book claims that the orbital debris problem is well-defined, that responses to it are technically tractable, that the principal obstacles are economic and political rather than scientific, and that the choices made in the next decade by governments, agencies, and operators will shape the orbital environment that the rest of this </w:t>
      </w:r>
      <w:r w:rsidRPr="00C36639">
        <w:rPr>
          <w:rFonts w:ascii="Garamond" w:eastAsia="Garamond" w:hAnsi="Garamond" w:cs="Garamond"/>
          <w:kern w:val="0"/>
          <w:sz w:val="22"/>
          <w:szCs w:val="22"/>
          <w14:ligatures w14:val="none"/>
        </w:rPr>
        <w:lastRenderedPageBreak/>
        <w:t>century inherits. The book's point is to make those choices visible and to give the general reader, the student, the policymaker, and the practitioner a common reference for the discussion that follows.</w:t>
      </w:r>
    </w:p>
    <w:p w14:paraId="1196DA43" w14:textId="77777777" w:rsidR="00C36639" w:rsidRPr="00C36639" w:rsidRDefault="00C36639" w:rsidP="00C36639">
      <w:pPr>
        <w:keepNext/>
        <w:spacing w:before="280" w:after="140" w:line="360" w:lineRule="auto"/>
        <w:outlineLvl w:val="1"/>
        <w:rPr>
          <w:rFonts w:ascii="Garamond" w:eastAsia="Garamond" w:hAnsi="Garamond" w:cs="Garamond"/>
          <w:b/>
          <w:bCs/>
          <w:kern w:val="0"/>
          <w:sz w:val="28"/>
          <w:szCs w:val="28"/>
          <w14:ligatures w14:val="none"/>
        </w:rPr>
      </w:pPr>
      <w:r w:rsidRPr="00C36639">
        <w:rPr>
          <w:rFonts w:ascii="Garamond" w:eastAsia="Garamond" w:hAnsi="Garamond" w:cs="Garamond"/>
          <w:b/>
          <w:bCs/>
          <w:kern w:val="0"/>
          <w:sz w:val="28"/>
          <w:szCs w:val="28"/>
          <w14:ligatures w14:val="none"/>
        </w:rPr>
        <w:t>Chapter Summary</w:t>
      </w:r>
    </w:p>
    <w:p w14:paraId="633FEFD0" w14:textId="77777777" w:rsidR="00C36639" w:rsidRPr="00C36639" w:rsidRDefault="00C36639" w:rsidP="00C36639">
      <w:pPr>
        <w:spacing w:after="0" w:line="276" w:lineRule="auto"/>
        <w:ind w:firstLine="360"/>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t xml:space="preserve">The space debris environment, the byproduct of nearly seven decades of orbital activity, now contains roughly 40,000 tracked objects and at least a hundred million smaller fragments, almost all traveling at velocities sufficient to destroy any satellite they </w:t>
      </w:r>
      <w:proofErr w:type="gramStart"/>
      <w:r w:rsidRPr="00C36639">
        <w:rPr>
          <w:rFonts w:ascii="Garamond" w:eastAsia="Garamond" w:hAnsi="Garamond" w:cs="Garamond"/>
          <w:kern w:val="0"/>
          <w:sz w:val="22"/>
          <w:szCs w:val="22"/>
          <w14:ligatures w14:val="none"/>
        </w:rPr>
        <w:t>strike</w:t>
      </w:r>
      <w:proofErr w:type="gramEnd"/>
      <w:r w:rsidRPr="00C36639">
        <w:rPr>
          <w:rFonts w:ascii="Garamond" w:eastAsia="Garamond" w:hAnsi="Garamond" w:cs="Garamond"/>
          <w:kern w:val="0"/>
          <w:sz w:val="22"/>
          <w:szCs w:val="22"/>
          <w14:ligatures w14:val="none"/>
        </w:rPr>
        <w:t>. The environment poses real and growing risks to satellite infrastructure that supports navigation, communications, weather forecasting, scientific observation, and national security. The problem has three components: the existing population, the rate of new debris generation, and the trajectory of future activity. Addressing it requires an integrated response across engineering, operations, policy, and international cooperation. The chapters that follow develop each of these elements in turn, providing readers with a complete and current understanding of where the problem stands, how it arose, and what is being done about it.</w:t>
      </w:r>
    </w:p>
    <w:p w14:paraId="26DFF699" w14:textId="77777777" w:rsidR="00C36639" w:rsidRPr="00C36639" w:rsidRDefault="00C36639" w:rsidP="00C36639">
      <w:pPr>
        <w:spacing w:after="0" w:line="276" w:lineRule="auto"/>
        <w:jc w:val="both"/>
        <w:rPr>
          <w:rFonts w:ascii="Garamond" w:eastAsia="Garamond" w:hAnsi="Garamond" w:cs="Garamond"/>
          <w:kern w:val="0"/>
          <w:sz w:val="22"/>
          <w:szCs w:val="22"/>
          <w14:ligatures w14:val="none"/>
        </w:rPr>
      </w:pPr>
      <w:r w:rsidRPr="00C36639">
        <w:rPr>
          <w:rFonts w:ascii="Garamond" w:eastAsia="Garamond" w:hAnsi="Garamond" w:cs="Garamond"/>
          <w:kern w:val="0"/>
          <w:sz w:val="22"/>
          <w:szCs w:val="22"/>
          <w14:ligatures w14:val="none"/>
        </w:rPr>
        <w:br w:type="page"/>
      </w:r>
    </w:p>
    <w:p w14:paraId="7202C1BA" w14:textId="77777777" w:rsidR="00877C0F" w:rsidRDefault="00877C0F" w:rsidP="00877C0F">
      <w:pPr>
        <w:rPr>
          <w:rFonts w:ascii="Garamond" w:eastAsia="Garamond" w:hAnsi="Garamond" w:cs="Garamond"/>
          <w:b/>
          <w:bCs/>
          <w:color w:val="BF4E14" w:themeColor="accent2" w:themeShade="BF"/>
          <w:kern w:val="0"/>
          <w:sz w:val="40"/>
          <w:szCs w:val="40"/>
          <w14:ligatures w14:val="none"/>
        </w:rPr>
      </w:pPr>
      <w:r w:rsidRPr="00C36639">
        <w:rPr>
          <w:rFonts w:ascii="Garamond" w:eastAsia="Garamond" w:hAnsi="Garamond" w:cs="Garamond"/>
          <w:b/>
          <w:bCs/>
          <w:color w:val="BF4E14" w:themeColor="accent2" w:themeShade="BF"/>
          <w:kern w:val="0"/>
          <w:sz w:val="40"/>
          <w:szCs w:val="40"/>
          <w14:ligatures w14:val="none"/>
        </w:rPr>
        <w:lastRenderedPageBreak/>
        <w:t>SAMPLE CHAPTER · FOR EDUCATOR REVIEW</w:t>
      </w:r>
    </w:p>
    <w:p w14:paraId="6ECEF281" w14:textId="77777777" w:rsidR="00877C0F" w:rsidRDefault="00877C0F" w:rsidP="00877C0F">
      <w:pPr>
        <w:rPr>
          <w:rFonts w:ascii="Garamond" w:eastAsia="Garamond" w:hAnsi="Garamond" w:cs="Garamond"/>
          <w:b/>
          <w:bCs/>
          <w:color w:val="BF4E14" w:themeColor="accent2" w:themeShade="BF"/>
          <w:kern w:val="0"/>
          <w:sz w:val="40"/>
          <w:szCs w:val="40"/>
          <w14:ligatures w14:val="none"/>
        </w:rPr>
      </w:pPr>
    </w:p>
    <w:p w14:paraId="143A3B79" w14:textId="77777777" w:rsidR="00877C0F" w:rsidRDefault="00877C0F" w:rsidP="00877C0F">
      <w:pPr>
        <w:rPr>
          <w:rFonts w:ascii="Garamond" w:eastAsia="Garamond" w:hAnsi="Garamond" w:cs="Garamond"/>
          <w:b/>
          <w:bCs/>
          <w:color w:val="BF4E14" w:themeColor="accent2" w:themeShade="BF"/>
          <w:kern w:val="0"/>
          <w:sz w:val="40"/>
          <w:szCs w:val="40"/>
          <w14:ligatures w14:val="none"/>
        </w:rPr>
      </w:pPr>
    </w:p>
    <w:p w14:paraId="19084722" w14:textId="77777777" w:rsidR="00877C0F" w:rsidRPr="00C36639" w:rsidRDefault="00877C0F" w:rsidP="00877C0F">
      <w:pPr>
        <w:rPr>
          <w:rFonts w:ascii="Garamond" w:eastAsia="Garamond" w:hAnsi="Garamond" w:cs="Garamond"/>
          <w:b/>
          <w:bCs/>
          <w:color w:val="BF4E14" w:themeColor="accent2" w:themeShade="BF"/>
          <w:kern w:val="0"/>
          <w:sz w:val="40"/>
          <w:szCs w:val="40"/>
          <w14:ligatures w14:val="none"/>
        </w:rPr>
      </w:pPr>
    </w:p>
    <w:p w14:paraId="6D9DA356" w14:textId="77777777" w:rsidR="00877C0F" w:rsidRPr="00C36639" w:rsidRDefault="00877C0F" w:rsidP="00877C0F">
      <w:pPr>
        <w:jc w:val="center"/>
        <w:rPr>
          <w:rFonts w:ascii="Garamond" w:eastAsia="Garamond" w:hAnsi="Garamond" w:cs="Garamond"/>
          <w:b/>
          <w:bCs/>
          <w:kern w:val="0"/>
          <w:sz w:val="96"/>
          <w:szCs w:val="96"/>
          <w14:ligatures w14:val="none"/>
        </w:rPr>
      </w:pPr>
      <w:r w:rsidRPr="00C36639">
        <w:rPr>
          <w:rFonts w:ascii="Garamond" w:eastAsia="Garamond" w:hAnsi="Garamond" w:cs="Garamond"/>
          <w:b/>
          <w:bCs/>
          <w:kern w:val="0"/>
          <w:sz w:val="96"/>
          <w:szCs w:val="96"/>
          <w14:ligatures w14:val="none"/>
        </w:rPr>
        <w:t>Space Debris</w:t>
      </w:r>
    </w:p>
    <w:p w14:paraId="53901F17" w14:textId="77777777" w:rsidR="00877C0F" w:rsidRPr="00877C0F" w:rsidRDefault="00877C0F" w:rsidP="00877C0F">
      <w:pPr>
        <w:jc w:val="center"/>
        <w:rPr>
          <w:rFonts w:ascii="Garamond" w:eastAsia="Garamond" w:hAnsi="Garamond" w:cs="Garamond"/>
          <w:b/>
          <w:bCs/>
          <w:i/>
          <w:iCs/>
          <w:kern w:val="0"/>
          <w:sz w:val="56"/>
          <w:szCs w:val="56"/>
          <w14:ligatures w14:val="none"/>
        </w:rPr>
      </w:pPr>
      <w:r w:rsidRPr="00877C0F">
        <w:rPr>
          <w:rFonts w:ascii="Garamond" w:eastAsia="Garamond" w:hAnsi="Garamond" w:cs="Garamond"/>
          <w:b/>
          <w:bCs/>
          <w:i/>
          <w:iCs/>
          <w:kern w:val="0"/>
          <w:sz w:val="56"/>
          <w:szCs w:val="56"/>
          <w14:ligatures w14:val="none"/>
        </w:rPr>
        <w:t>Clearing the Final Frontier</w:t>
      </w:r>
    </w:p>
    <w:p w14:paraId="5B059124" w14:textId="77777777" w:rsidR="00877C0F" w:rsidRPr="00C36639" w:rsidRDefault="00877C0F" w:rsidP="00877C0F">
      <w:pPr>
        <w:jc w:val="center"/>
        <w:rPr>
          <w:rFonts w:ascii="Garamond" w:eastAsia="Garamond" w:hAnsi="Garamond" w:cs="Garamond"/>
          <w:b/>
          <w:bCs/>
          <w:i/>
          <w:iCs/>
          <w:kern w:val="0"/>
          <w:sz w:val="72"/>
          <w:szCs w:val="72"/>
          <w14:ligatures w14:val="none"/>
        </w:rPr>
      </w:pPr>
    </w:p>
    <w:p w14:paraId="7F9DFF78" w14:textId="77777777" w:rsidR="00877C0F" w:rsidRPr="00C36639" w:rsidRDefault="00877C0F" w:rsidP="00877C0F">
      <w:pPr>
        <w:jc w:val="center"/>
        <w:rPr>
          <w:rFonts w:ascii="Garamond" w:eastAsia="Garamond" w:hAnsi="Garamond" w:cs="Garamond"/>
          <w:b/>
          <w:bCs/>
          <w:kern w:val="0"/>
          <w:sz w:val="40"/>
          <w:szCs w:val="40"/>
          <w14:ligatures w14:val="none"/>
        </w:rPr>
      </w:pPr>
      <w:r w:rsidRPr="00C36639">
        <w:rPr>
          <w:rFonts w:ascii="Garamond" w:eastAsia="Garamond" w:hAnsi="Garamond" w:cs="Garamond"/>
          <w:b/>
          <w:bCs/>
          <w:kern w:val="0"/>
          <w:sz w:val="40"/>
          <w:szCs w:val="40"/>
          <w14:ligatures w14:val="none"/>
        </w:rPr>
        <w:t>Jason P. Crutchfield</w:t>
      </w:r>
    </w:p>
    <w:p w14:paraId="6B5EA649" w14:textId="77777777" w:rsidR="00877C0F" w:rsidRPr="00877C0F" w:rsidRDefault="00877C0F" w:rsidP="00877C0F">
      <w:pPr>
        <w:jc w:val="center"/>
        <w:rPr>
          <w:rFonts w:ascii="Sagona Book" w:eastAsia="Garamond" w:hAnsi="Sagona Book" w:cs="Times New Roman"/>
          <w:i/>
          <w:iCs/>
          <w:color w:val="A6A6A6" w:themeColor="background1" w:themeShade="A6"/>
          <w:kern w:val="0"/>
          <w:sz w:val="28"/>
          <w:szCs w:val="28"/>
          <w14:ligatures w14:val="none"/>
        </w:rPr>
      </w:pPr>
      <w:proofErr w:type="spellStart"/>
      <w:r w:rsidRPr="00877C0F">
        <w:rPr>
          <w:rFonts w:ascii="Sagona Book" w:eastAsia="Garamond" w:hAnsi="Sagona Book" w:cs="Times New Roman"/>
          <w:i/>
          <w:iCs/>
          <w:color w:val="A6A6A6" w:themeColor="background1" w:themeShade="A6"/>
          <w:kern w:val="0"/>
          <w:sz w:val="28"/>
          <w:szCs w:val="28"/>
          <w14:ligatures w14:val="none"/>
        </w:rPr>
        <w:t>Immensum</w:t>
      </w:r>
      <w:proofErr w:type="spellEnd"/>
      <w:r w:rsidRPr="00877C0F">
        <w:rPr>
          <w:rFonts w:ascii="Sagona Book" w:eastAsia="Garamond" w:hAnsi="Sagona Book" w:cs="Times New Roman"/>
          <w:i/>
          <w:iCs/>
          <w:color w:val="A6A6A6" w:themeColor="background1" w:themeShade="A6"/>
          <w:kern w:val="0"/>
          <w:sz w:val="28"/>
          <w:szCs w:val="28"/>
          <w14:ligatures w14:val="none"/>
        </w:rPr>
        <w:t xml:space="preserve"> Press · June 22, 2026</w:t>
      </w:r>
    </w:p>
    <w:p w14:paraId="291E3CED" w14:textId="77777777" w:rsidR="00877C0F" w:rsidRDefault="00877C0F" w:rsidP="00877C0F">
      <w:pPr>
        <w:jc w:val="center"/>
        <w:rPr>
          <w:rFonts w:ascii="Garamond" w:eastAsia="Garamond" w:hAnsi="Garamond" w:cs="Garamond"/>
          <w:b/>
          <w:bCs/>
          <w:color w:val="A6A6A6" w:themeColor="background1" w:themeShade="A6"/>
          <w:kern w:val="0"/>
          <w:sz w:val="40"/>
          <w:szCs w:val="40"/>
          <w14:ligatures w14:val="none"/>
        </w:rPr>
      </w:pPr>
    </w:p>
    <w:p w14:paraId="08141410" w14:textId="77777777" w:rsidR="00877C0F" w:rsidRDefault="00877C0F" w:rsidP="00877C0F">
      <w:pPr>
        <w:jc w:val="center"/>
        <w:rPr>
          <w:rFonts w:ascii="Garamond" w:eastAsia="Garamond" w:hAnsi="Garamond" w:cs="Garamond"/>
          <w:b/>
          <w:bCs/>
          <w:color w:val="A6A6A6" w:themeColor="background1" w:themeShade="A6"/>
          <w:kern w:val="0"/>
          <w:sz w:val="40"/>
          <w:szCs w:val="40"/>
          <w14:ligatures w14:val="none"/>
        </w:rPr>
      </w:pPr>
    </w:p>
    <w:p w14:paraId="055253A0" w14:textId="77777777" w:rsidR="00877C0F" w:rsidRPr="00C36639" w:rsidRDefault="00877C0F" w:rsidP="00877C0F">
      <w:pPr>
        <w:jc w:val="center"/>
        <w:rPr>
          <w:rFonts w:ascii="Garamond" w:eastAsia="Garamond" w:hAnsi="Garamond" w:cs="Garamond"/>
          <w:b/>
          <w:bCs/>
          <w:color w:val="A6A6A6" w:themeColor="background1" w:themeShade="A6"/>
          <w:kern w:val="0"/>
          <w:sz w:val="40"/>
          <w:szCs w:val="40"/>
          <w14:ligatures w14:val="none"/>
        </w:rPr>
      </w:pPr>
    </w:p>
    <w:p w14:paraId="425EE23D" w14:textId="07B4EE47" w:rsidR="00877C0F" w:rsidRPr="00C36639" w:rsidRDefault="00877C0F" w:rsidP="00877C0F">
      <w:pPr>
        <w:jc w:val="center"/>
        <w:rPr>
          <w:rFonts w:ascii="Garamond" w:eastAsia="Garamond" w:hAnsi="Garamond" w:cs="Garamond"/>
          <w:color w:val="BF4E14" w:themeColor="accent2" w:themeShade="BF"/>
          <w:kern w:val="0"/>
          <w:sz w:val="36"/>
          <w:szCs w:val="36"/>
          <w14:ligatures w14:val="none"/>
        </w:rPr>
      </w:pPr>
      <w:r w:rsidRPr="00C36639">
        <w:rPr>
          <w:rFonts w:ascii="Garamond" w:eastAsia="Garamond" w:hAnsi="Garamond" w:cs="Garamond"/>
          <w:color w:val="BF4E14" w:themeColor="accent2" w:themeShade="BF"/>
          <w:kern w:val="0"/>
          <w:sz w:val="36"/>
          <w:szCs w:val="36"/>
          <w14:ligatures w14:val="none"/>
        </w:rPr>
        <w:t>CHAPTER 1</w:t>
      </w:r>
      <w:r>
        <w:rPr>
          <w:rFonts w:ascii="Garamond" w:eastAsia="Garamond" w:hAnsi="Garamond" w:cs="Garamond"/>
          <w:color w:val="BF4E14" w:themeColor="accent2" w:themeShade="BF"/>
          <w:kern w:val="0"/>
          <w:sz w:val="36"/>
          <w:szCs w:val="36"/>
          <w14:ligatures w14:val="none"/>
        </w:rPr>
        <w:t>1</w:t>
      </w:r>
    </w:p>
    <w:p w14:paraId="4D1A1214" w14:textId="77777777" w:rsidR="00877C0F" w:rsidRDefault="00877C0F" w:rsidP="00877C0F">
      <w:pPr>
        <w:jc w:val="center"/>
        <w:rPr>
          <w:rFonts w:ascii="Garamond" w:eastAsia="Garamond" w:hAnsi="Garamond" w:cs="Garamond"/>
          <w:b/>
          <w:bCs/>
          <w:kern w:val="0"/>
          <w:sz w:val="56"/>
          <w:szCs w:val="56"/>
          <w14:ligatures w14:val="none"/>
        </w:rPr>
      </w:pPr>
      <w:r w:rsidRPr="00C36639">
        <w:rPr>
          <w:rFonts w:ascii="Garamond" w:eastAsia="Garamond" w:hAnsi="Garamond" w:cs="Garamond"/>
          <w:b/>
          <w:bCs/>
          <w:kern w:val="0"/>
          <w:sz w:val="56"/>
          <w:szCs w:val="56"/>
          <w14:ligatures w14:val="none"/>
        </w:rPr>
        <w:t>Introduction to the Space Debris Crisis</w:t>
      </w:r>
    </w:p>
    <w:p w14:paraId="7C3473E3" w14:textId="77777777" w:rsidR="00877C0F" w:rsidRPr="00C36639" w:rsidRDefault="00877C0F" w:rsidP="00877C0F">
      <w:pPr>
        <w:jc w:val="center"/>
        <w:rPr>
          <w:rFonts w:ascii="Times New Roman" w:eastAsia="Garamond" w:hAnsi="Times New Roman" w:cs="Times New Roman"/>
          <w:b/>
          <w:bCs/>
          <w:kern w:val="0"/>
          <w:sz w:val="28"/>
          <w:szCs w:val="28"/>
          <w14:ligatures w14:val="none"/>
        </w:rPr>
      </w:pPr>
    </w:p>
    <w:p w14:paraId="034EB784" w14:textId="77777777" w:rsidR="00877C0F" w:rsidRPr="00C36639" w:rsidRDefault="00877C0F" w:rsidP="00877C0F">
      <w:pPr>
        <w:jc w:val="center"/>
        <w:rPr>
          <w:rFonts w:ascii="Times New Roman" w:eastAsia="Garamond" w:hAnsi="Times New Roman" w:cs="Times New Roman"/>
          <w:color w:val="A6A6A6" w:themeColor="background1" w:themeShade="A6"/>
          <w:kern w:val="0"/>
          <w:sz w:val="28"/>
          <w:szCs w:val="28"/>
          <w14:ligatures w14:val="none"/>
        </w:rPr>
      </w:pPr>
      <w:r w:rsidRPr="00C36639">
        <w:rPr>
          <w:rFonts w:ascii="Times New Roman" w:eastAsia="Garamond" w:hAnsi="Times New Roman" w:cs="Times New Roman"/>
          <w:color w:val="A6A6A6" w:themeColor="background1" w:themeShade="A6"/>
          <w:kern w:val="0"/>
          <w:sz w:val="28"/>
          <w:szCs w:val="28"/>
          <w14:ligatures w14:val="none"/>
        </w:rPr>
        <w:t>To request a full complimentary examination copy, visit</w:t>
      </w:r>
    </w:p>
    <w:p w14:paraId="7DE2F3BA" w14:textId="77777777" w:rsidR="00877C0F" w:rsidRPr="00C36639" w:rsidRDefault="00877C0F" w:rsidP="00877C0F">
      <w:pPr>
        <w:jc w:val="center"/>
        <w:rPr>
          <w:rFonts w:ascii="Times New Roman" w:eastAsia="Garamond" w:hAnsi="Times New Roman" w:cs="Times New Roman"/>
          <w:color w:val="A6A6A6" w:themeColor="background1" w:themeShade="A6"/>
          <w:kern w:val="0"/>
          <w:sz w:val="28"/>
          <w:szCs w:val="28"/>
          <w14:ligatures w14:val="none"/>
        </w:rPr>
      </w:pPr>
      <w:r w:rsidRPr="00C36639">
        <w:rPr>
          <w:rFonts w:ascii="Times New Roman" w:eastAsia="Garamond" w:hAnsi="Times New Roman" w:cs="Times New Roman"/>
          <w:color w:val="A6A6A6" w:themeColor="background1" w:themeShade="A6"/>
          <w:kern w:val="0"/>
          <w:sz w:val="28"/>
          <w:szCs w:val="28"/>
          <w14:ligatures w14:val="none"/>
        </w:rPr>
        <w:t>spacedebrisauthor.com/educators</w:t>
      </w:r>
    </w:p>
    <w:p w14:paraId="64DCA85F" w14:textId="32BF538C" w:rsidR="00877C0F" w:rsidRDefault="00877C0F">
      <w:r>
        <w:br w:type="page"/>
      </w:r>
    </w:p>
    <w:p w14:paraId="660F4FD0" w14:textId="77777777" w:rsidR="00877C0F" w:rsidRPr="00877C0F" w:rsidRDefault="00877C0F" w:rsidP="00877C0F">
      <w:pPr>
        <w:keepNext/>
        <w:spacing w:before="240" w:after="480" w:line="480" w:lineRule="auto"/>
        <w:outlineLvl w:val="0"/>
        <w:rPr>
          <w:rFonts w:ascii="Garamond" w:eastAsia="Garamond" w:hAnsi="Garamond" w:cs="Garamond"/>
          <w:b/>
          <w:bCs/>
          <w:kern w:val="0"/>
          <w:sz w:val="40"/>
          <w:szCs w:val="40"/>
          <w14:ligatures w14:val="none"/>
        </w:rPr>
      </w:pPr>
      <w:r w:rsidRPr="00877C0F">
        <w:rPr>
          <w:rFonts w:ascii="Garamond" w:eastAsia="Garamond" w:hAnsi="Garamond" w:cs="Garamond"/>
          <w:b/>
          <w:bCs/>
          <w:kern w:val="0"/>
          <w:sz w:val="40"/>
          <w:szCs w:val="40"/>
          <w14:ligatures w14:val="none"/>
        </w:rPr>
        <w:lastRenderedPageBreak/>
        <w:t>Chapter 11. Active Debris Removal and In-Orbit Servicing</w:t>
      </w:r>
    </w:p>
    <w:p w14:paraId="7475C776"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Introduction</w:t>
      </w:r>
    </w:p>
    <w:p w14:paraId="6571DF18"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cascade analysis in Chapter 4 shows that mitigation alone is insufficient to stabilize the long-term debris environment in the most heavily affected altitude bands of low Earth orbit. The existing population in those bands must be actively reduced, not merely held constant. Active debris removal, the deliberate capture and disposal of derelict satellites and large debris fragments by purpose-built spacecraft, is the technical response to this requirement. Closely related is in-orbit servicing, the deliberate inspection, refueling, repair, or modification of operational satellites by </w:t>
      </w:r>
      <w:proofErr w:type="gramStart"/>
      <w:r w:rsidRPr="00877C0F">
        <w:rPr>
          <w:rFonts w:ascii="Garamond" w:eastAsia="Garamond" w:hAnsi="Garamond" w:cs="Garamond"/>
          <w:kern w:val="0"/>
          <w:sz w:val="22"/>
          <w:szCs w:val="22"/>
          <w14:ligatures w14:val="none"/>
        </w:rPr>
        <w:t>other</w:t>
      </w:r>
      <w:proofErr w:type="gramEnd"/>
      <w:r w:rsidRPr="00877C0F">
        <w:rPr>
          <w:rFonts w:ascii="Garamond" w:eastAsia="Garamond" w:hAnsi="Garamond" w:cs="Garamond"/>
          <w:kern w:val="0"/>
          <w:sz w:val="22"/>
          <w:szCs w:val="22"/>
          <w14:ligatures w14:val="none"/>
        </w:rPr>
        <w:t xml:space="preserve"> spacecraft. The two activity classes share substantial technical infrastructure, including capabilities for rendezvous and proximity operations, </w:t>
      </w:r>
      <w:proofErr w:type="gramStart"/>
      <w:r w:rsidRPr="00877C0F">
        <w:rPr>
          <w:rFonts w:ascii="Garamond" w:eastAsia="Garamond" w:hAnsi="Garamond" w:cs="Garamond"/>
          <w:kern w:val="0"/>
          <w:sz w:val="22"/>
          <w:szCs w:val="22"/>
          <w14:ligatures w14:val="none"/>
        </w:rPr>
        <w:t>capture</w:t>
      </w:r>
      <w:proofErr w:type="gramEnd"/>
      <w:r w:rsidRPr="00877C0F">
        <w:rPr>
          <w:rFonts w:ascii="Garamond" w:eastAsia="Garamond" w:hAnsi="Garamond" w:cs="Garamond"/>
          <w:kern w:val="0"/>
          <w:sz w:val="22"/>
          <w:szCs w:val="22"/>
          <w14:ligatures w14:val="none"/>
        </w:rPr>
        <w:t xml:space="preserve"> mechanisms, and operational practices, and have developed in parallel over the past two decades.</w:t>
      </w:r>
    </w:p>
    <w:p w14:paraId="5C8884D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This chapter examines the technical, operational, regulatory, and economic dimensions of active debris removal and in-orbit servicing. It begins with the technical requirements for these activities and the principal capture and disposal techniques developed. It reviews missions that have been demonstrated or are under development, including ESA’s ClearSpace-1, the upcoming PRELUDE mission, the Japanese Astroscale missions, and the U.S. military and commercial servicing demonstrations. It reviews the regulatory and policy framework within which these activities operate, including the legal complications discussed in Chapter 7 and the developing national licensing frameworks. It reviews the economic case for active debris removal and the proposed financing mechanisms. It reviews the prospects for sustained removal capability over the coming decade and its relationship to the broader trajectory of the debris environment.</w:t>
      </w:r>
    </w:p>
    <w:p w14:paraId="7C5D263C"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The Technical Requirements for Active Removal</w:t>
      </w:r>
    </w:p>
    <w:p w14:paraId="1C90CED9"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Active debris removal is technically demanding. The targets are typically tumbling, uncontrolled objects that pose major challenges for capture by another spacecraft. They are typically located in heavily congested orbital regions with dense conjunctions. The removal vehicle must perform a precise rendezvous, capture the target without producing additional fragments, and then either deorbit the captured target or transfer it to a graveyard orbit. Each step of this sequence imposes specific technical requirements that must be met for the mission to succeed.</w:t>
      </w:r>
    </w:p>
    <w:p w14:paraId="7A5C28D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Rendezvous with a tumbling, uncontrolled target requires the removal vehicle to characterize the target’s motion in detail before the approach. The motion can include rapid multi-axis rotation, with rotation rates that may vary over time as the target’s residual angular momentum interacts with environmental torques. Optical and radar observations along the approach trajectory provide the data needed to characterize the motion, and the removal vehicle’s onboard processing develops the model that supports the capture maneuver. The motion characterization must be precise enough for the capture mechanism to engage the target reliably and fast enough to complete the approach within the operational window.</w:t>
      </w:r>
    </w:p>
    <w:p w14:paraId="3C97509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Capture mechanisms vary widely across the developing approaches. Robotic arms with grippers can grasp specific target features, such as launch interfaces, antennas, or other grappling points. This approach is well-</w:t>
      </w:r>
      <w:r w:rsidRPr="00877C0F">
        <w:rPr>
          <w:rFonts w:ascii="Garamond" w:eastAsia="Garamond" w:hAnsi="Garamond" w:cs="Garamond"/>
          <w:kern w:val="0"/>
          <w:sz w:val="22"/>
          <w:szCs w:val="22"/>
          <w14:ligatures w14:val="none"/>
        </w:rPr>
        <w:lastRenderedPageBreak/>
        <w:t>suited to targets with known graspable features that present them to the approaching vehicle. It is less well suited to targets with unknown configurations or to targets whose tumbling motion makes it difficult to engage specific features reliably.</w:t>
      </w:r>
    </w:p>
    <w:p w14:paraId="13FB893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Net capture systems deploy a net that surrounds and constrains the target. The net is typically launched from a launcher on the removal vehicle and closes around the target under the tension of attached lines. This approach is well-suited to large, irregularly shaped targets with limited graspable features. It is less well suited to targets with delicate components that could be damaged by net contact and to operations in environments where the net itself might pose a hazard if it fails to engage properly.</w:t>
      </w:r>
    </w:p>
    <w:p w14:paraId="33CB22EC"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Harpoon systems fire a barbed projectile that embeds in the target structure. The harpoon is connected to the removal vehicle by a tether that enables subsequent control of the captured target. The approach has been demonstrated experimentally and offers the advantage of engaging targets at a distance, before a close approach. The disadvantages include difficulty penetrating various target materials and the risk of producing fragments at the impact site.</w:t>
      </w:r>
    </w:p>
    <w:p w14:paraId="130796D2"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Magnetic capture systems use electromagnets or permanent magnets to attach to ferromagnetic features on the target. The approach is limited to targets with ferromagnetic surfaces but offers gentle engagement that minimizes the risk of fragment generation. Astroscale’s ELSA-d mission has demonstrated this approach and is being developed for several follow-on missions.</w:t>
      </w:r>
    </w:p>
    <w:p w14:paraId="2531BD06"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Adhesive capture systems use adhesive surfaces or specialized engagement mechanisms that attach to the target via chemical or mechanical bonding. This approach is in earlier stages of development than the alternatives but offers potential advantages for specific target categories. It has been demonstrated in laboratory testing but not yet in flight.</w:t>
      </w:r>
    </w:p>
    <w:p w14:paraId="002D54A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After capture, the removal vehicle must dispose of the captured target. For targets in low Earth orbit, the typical approach is controlled deorbit; the removal vehicle uses its propulsion to lower the combined satellite orbit until atmospheric drag removes it. This approach requires an extremely large propellant capacity in the removal vehicle, with the required amount increasing in proportion to the target mass and the degree of orbital altitude reduction. For targets in higher orbits, deorbit may not be practical, and disposal may require transfer to a graveyard orbit. The transfer process requires considerable delta-v and may involve multiple orbital maneuvers, each increasing propellant demands.</w:t>
      </w:r>
    </w:p>
    <w:p w14:paraId="6614D9AA"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ClearSpace-1: ESA's Demonstration Mission</w:t>
      </w:r>
    </w:p>
    <w:p w14:paraId="48EF308A"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ClearSpace-1 mission, announced by ESA in 2019 and progressing toward a 2028 launch as of mid-2026, is the most prominent active debris removal demonstration in development. The mission was conceived to remove a Vespa upper-stage adapter in low Earth orbit, but in April 2024, ESA retargeted it to the PROBA-1 satellite. The retargeting was prompted by the discovery that the original target had been struck by a small debris fragment, which fragmented it into several pieces and rendered it unsuitable as a removal target.</w:t>
      </w:r>
    </w:p>
    <w:p w14:paraId="1B2607EF"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PROBA-1 satellite was launched by ESA in 2001 as a small Earth observation satellite at an altitude of approximately 416 miles (670 kilometers). The satellite operated successfully for many years and was retired in 2018. </w:t>
      </w:r>
      <w:proofErr w:type="gramStart"/>
      <w:r w:rsidRPr="00877C0F">
        <w:rPr>
          <w:rFonts w:ascii="Garamond" w:eastAsia="Garamond" w:hAnsi="Garamond" w:cs="Garamond"/>
          <w:kern w:val="0"/>
          <w:sz w:val="22"/>
          <w:szCs w:val="22"/>
          <w14:ligatures w14:val="none"/>
        </w:rPr>
        <w:t>The retirement</w:t>
      </w:r>
      <w:proofErr w:type="gramEnd"/>
      <w:r w:rsidRPr="00877C0F">
        <w:rPr>
          <w:rFonts w:ascii="Garamond" w:eastAsia="Garamond" w:hAnsi="Garamond" w:cs="Garamond"/>
          <w:kern w:val="0"/>
          <w:sz w:val="22"/>
          <w:szCs w:val="22"/>
          <w14:ligatures w14:val="none"/>
        </w:rPr>
        <w:t xml:space="preserve"> left the satellite as a defunct object in low Earth orbit, at altitudes where natural decay would not occur within the disposal timeline applicable at the time of launch. PROBA-1 is therefore a representative example of legacy debris from earlier operational eras and provides a meaningful demonstration target.</w:t>
      </w:r>
    </w:p>
    <w:p w14:paraId="1D0B2196"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ClearSpace-1 spacecraft is a custom-designed removal vehicle built by ClearSpace SA, a Swiss company spun off from the École Polytechnique Fédérale de Lausanne to develop active debris removal capability. The vehicle uses a four-armed robotic capture system that engages the target through controlled contact with the </w:t>
      </w:r>
      <w:r w:rsidRPr="00877C0F">
        <w:rPr>
          <w:rFonts w:ascii="Garamond" w:eastAsia="Garamond" w:hAnsi="Garamond" w:cs="Garamond"/>
          <w:kern w:val="0"/>
          <w:sz w:val="22"/>
          <w:szCs w:val="22"/>
          <w14:ligatures w14:val="none"/>
        </w:rPr>
        <w:lastRenderedPageBreak/>
        <w:t>target’s external structure. After capture, the vehicle deorbits the combined satellite-target through controlled reentry. The mission is intended to demonstrate operational capability for active debris removal and to establish the technical basis for follow-on missions.</w:t>
      </w:r>
    </w:p>
    <w:p w14:paraId="4F142F1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ClearSpace SA has evolved beyond the initial ESA contract to build a broader commercial portfolio that serves both government and commercial customers. The company has secured additional contracts with commercial operators to remove specific satellites at the end of life and to develop specialized servicing capabilities. The company’s commercial development illustrates the broader trajectory of active debris removal as an emerging commercial sector rather than solely a governmental capability.</w:t>
      </w:r>
    </w:p>
    <w:p w14:paraId="545F56A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ClearSpace-1 mission has faced several challenges that have delayed its progress. The April 2024 retargeting from Vespa to PROBA-1 was one such challenge. Funding constraints, technical development complexities, and integration challenges have led to schedule slippage relative to the original plans. The mission’s progress through its current development phase will be a critical test of whether the European active debris removal capability can be sustained through the operational deployment phase.</w:t>
      </w:r>
    </w:p>
    <w:p w14:paraId="688C2194"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PRELUDE: The Astroscale Approach</w:t>
      </w:r>
    </w:p>
    <w:p w14:paraId="62F10D98"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PRELUDE mission, announced by Astroscale in January 2026 with a planned 2027 launch, represents a different approach to active debris removal. Astroscale, a Tokyo-based company, has conducted several debris-removal demonstrations, including the ELSA-d (End-of-Life Services by Astroscale-demonstration) mission, which conducted capture and release demonstrations in 2021-2022. The PRELUDE mission will demonstrate the rendezvous, inspection, and capture of a tumbling, uncontrolled target, a Japanese H-IIA upper stage that has been in orbit since 2009.</w:t>
      </w:r>
    </w:p>
    <w:p w14:paraId="54A37076"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PRELUDE mission is funded primarily by JAXA, the Japanese space agency, with extensive commercial investment from Astroscale. As of 2026, the mission represents the most advanced commercial debris-removal capability under development and is the principal Japanese contribution to the international active debris-removal program. The mission’s technical approach includes close inspection of the target before capture, characterization of its tumbling motion, and capture using a specialized mechanism developed by Astroscale.</w:t>
      </w:r>
    </w:p>
    <w:p w14:paraId="1D1E3C75"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mission’s relationship to the broader Astroscale portfolio is important context. The company has developed multiple demonstration missions and operational capabilities, including the ELSA-M mission for commercial debris removal services and Lifetime Extension Services for satellites approaching the end of life. The company’s approach has been to build a portfolio of related capabilities that share common technical infrastructure while addressing different commercial needs. The PRELUDE mission will demonstrate the most demanding capability, the capture of an uncontrolled tumbling target, and will establish the basis for subsequent commercial removal services.</w:t>
      </w:r>
    </w:p>
    <w:p w14:paraId="2C0202F6"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Japanese government has been a strong supporter of Astroscale’s development, providing both direct funding and broader strategic support for the company’s commercial growth. Japan’s strategic interest in active debris removal reflects both the country’s well-developed commercial space sector (with economic interests in a sustainable orbital environment) and its broader role in international space policy (which has positioned Japan as a leader on debris-related issues). The successful development of Astroscale’s capability has been consistent with this strategic positioning.</w:t>
      </w:r>
    </w:p>
    <w:p w14:paraId="64386285"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lastRenderedPageBreak/>
        <w:t>U.S. Military and Commercial Servicing Demonstrations</w:t>
      </w:r>
    </w:p>
    <w:p w14:paraId="62286946"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U.S. Department of Defense has developed extensive in-orbit servicing capabilities through both the DARPA Robotic Servicing of Geosynchronous Satellites program and the Northrop Grumman Mission Extension Vehicles. The DARPA program has developed technologies for robotic servicing in geosynchronous orbit, including specialized robotic arms, capture mechanisms, and operational practices for high-altitude servicing. The Northrop Grumman Mission Extension Vehicles, MEV-1 and MEV-2, have demonstrated operational servicing of commercial satellites by docking with target satellites and providing extended station-keeping and maneuvering capabilities.</w:t>
      </w:r>
    </w:p>
    <w:p w14:paraId="435B7DEB"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MEV-1 docked with Intelsat 901 in February 2020, marking the first commercial in-orbit servicing of an operational geostationary satellite. The mission demonstrated the ability to dock with a satellite not designed for docking, to extend operational capability using the servicing vehicle’s propulsion system, and to maintain combined operations over extended periods. MEV-2 docked with Intelsat 10-02 in April 2021 and provided similar services. Both MEVs remain in service, demonstrating the operational sustainability of the servicing model.</w:t>
      </w:r>
    </w:p>
    <w:p w14:paraId="27FA71E5"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MEV approach demonstrates that in-orbit </w:t>
      </w:r>
      <w:proofErr w:type="gramStart"/>
      <w:r w:rsidRPr="00877C0F">
        <w:rPr>
          <w:rFonts w:ascii="Garamond" w:eastAsia="Garamond" w:hAnsi="Garamond" w:cs="Garamond"/>
          <w:kern w:val="0"/>
          <w:sz w:val="22"/>
          <w:szCs w:val="22"/>
          <w14:ligatures w14:val="none"/>
        </w:rPr>
        <w:t>servicing</w:t>
      </w:r>
      <w:proofErr w:type="gramEnd"/>
      <w:r w:rsidRPr="00877C0F">
        <w:rPr>
          <w:rFonts w:ascii="Garamond" w:eastAsia="Garamond" w:hAnsi="Garamond" w:cs="Garamond"/>
          <w:kern w:val="0"/>
          <w:sz w:val="22"/>
          <w:szCs w:val="22"/>
          <w14:ligatures w14:val="none"/>
        </w:rPr>
        <w:t xml:space="preserve"> can be commercially viable for high-value assets such as geostationary communications satellites. The economics of the model depend on the value of the extended operational lifetime and the additional revenue the serviced satellite can generate relative to the cost of the servicing operation. For satellites with high residual value but limited propellant, the servicing operation can be highly profitable for both the satellite operator and the servicing provider. The model's applicability </w:t>
      </w:r>
      <w:proofErr w:type="gramStart"/>
      <w:r w:rsidRPr="00877C0F">
        <w:rPr>
          <w:rFonts w:ascii="Garamond" w:eastAsia="Garamond" w:hAnsi="Garamond" w:cs="Garamond"/>
          <w:kern w:val="0"/>
          <w:sz w:val="22"/>
          <w:szCs w:val="22"/>
          <w14:ligatures w14:val="none"/>
        </w:rPr>
        <w:t>to</w:t>
      </w:r>
      <w:proofErr w:type="gramEnd"/>
      <w:r w:rsidRPr="00877C0F">
        <w:rPr>
          <w:rFonts w:ascii="Garamond" w:eastAsia="Garamond" w:hAnsi="Garamond" w:cs="Garamond"/>
          <w:kern w:val="0"/>
          <w:sz w:val="22"/>
          <w:szCs w:val="22"/>
          <w14:ligatures w14:val="none"/>
        </w:rPr>
        <w:t xml:space="preserve"> debris removal is more limited, since debris targets do not generate revenue. Still, the technical capabilities developed for the servicing model translate directly to debris removal applications.</w:t>
      </w:r>
    </w:p>
    <w:p w14:paraId="4DF029A5"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U.S. Space Force has also developed advanced servicing capabilities through programs that include both classified and unclassified components. The specific capabilities are not publicly detailed. Still, the broad pattern includes the development of rendezvous and proximity operations capabilities, inspection capabilities for assessing satellite status, and various servicing capabilities for U.S. military assets. Capability development has been progressing rapidly, and the U.S. military's service capabilities are among the most advanced in the world. Whether the capability will be applied to debris removal in addition to military servicing is an emerging question in U.S. space policy.</w:t>
      </w:r>
    </w:p>
    <w:p w14:paraId="117A7569"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U.S. commercial sector has begun developing an active debris-removal capability through several companies. Astroscale’s U.S. subsidiary, Astroscale U.S., has secured contracts for U.S. military servicing applications. Northrop Grumman has expanded its servicing portfolio beyond MEV to include broader robotic servicing. New entrants, including Starfish Space and Orbital Outpost X, have developed servicing concepts that could include debris-removal applications. Commercial development is in its early stages but progressing rapidly, with substantial venture capital investment supporting multiple companies.</w:t>
      </w:r>
    </w:p>
    <w:p w14:paraId="21F70826"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The Broader Astroscale Portfolio</w:t>
      </w:r>
    </w:p>
    <w:p w14:paraId="1D006CD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Astroscale has emerged as the most prominent international developer of active debris removal capabilities, and its portfolio warrants a more detailed examination. The company was founded in Tokyo in 2013 and has progressively expanded its technical capabilities and commercial reach. The company’s mission spans demonstration activities, commercial removal services, and adjacent capabilities, including lifetime extension and lifecycle management.</w:t>
      </w:r>
    </w:p>
    <w:p w14:paraId="345BBE62"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ELSA-d mission, launched in March 2021 from Baikonur, demonstrated basic capture-and-release capabilities through a series of operations involving a chaser spacecraft and a target spacecraft, both deployed </w:t>
      </w:r>
      <w:r w:rsidRPr="00877C0F">
        <w:rPr>
          <w:rFonts w:ascii="Garamond" w:eastAsia="Garamond" w:hAnsi="Garamond" w:cs="Garamond"/>
          <w:kern w:val="0"/>
          <w:sz w:val="22"/>
          <w:szCs w:val="22"/>
          <w14:ligatures w14:val="none"/>
        </w:rPr>
        <w:lastRenderedPageBreak/>
        <w:t>on the same launch. The chaser was equipped with a magnetic capture mechanism that engaged the target via a docking plate. The mission successfully demonstrated capture and release across multiple operational scenarios, providing the technical basis for subsequent operational missions. The mission encountered operational challenges, including a propulsion system anomaly that limited later phases of the demonstration, but the principal technical objectives were achieved.</w:t>
      </w:r>
    </w:p>
    <w:p w14:paraId="3EA3866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ADRAS-J mission (Active Debris Removal by Astroscale-Japan), launched in February 2024, demonstrated rendezvous and inspection of a real debris target, a Japanese H-IIA upper stage. The mission did not include capture, focusing instead on demonstrating approach, station-keeping, and inspection capabilities. These capabilities were successfully demonstrated in 2024 and 2025, providing detailed observations of the H-IIA target and establishing the operational basis for the follow-on PRELUDE mission, which will attempt to capture it.</w:t>
      </w:r>
    </w:p>
    <w:p w14:paraId="2266E36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ELSA-M mission, in development for launch in the late 2020s, will provide commercial debris-removal services for OneWeb satellites. The mission will involve capturing failed OneWeb satellites with a dedicated removal vehicle and disposing of them through controlled deorbit. The mission represents the first contracted commercial debris-removal service and provides a model for the broader commercialization of such services.</w:t>
      </w:r>
    </w:p>
    <w:p w14:paraId="602D8CD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Astroscale’s lifetime extension services represent a distinct commercial application of the company’s technical capabilities. The services involve docking with operational satellites at the end of life and providing extended station-keeping capability through the </w:t>
      </w:r>
      <w:proofErr w:type="gramStart"/>
      <w:r w:rsidRPr="00877C0F">
        <w:rPr>
          <w:rFonts w:ascii="Garamond" w:eastAsia="Garamond" w:hAnsi="Garamond" w:cs="Garamond"/>
          <w:kern w:val="0"/>
          <w:sz w:val="22"/>
          <w:szCs w:val="22"/>
          <w14:ligatures w14:val="none"/>
        </w:rPr>
        <w:t>servicing</w:t>
      </w:r>
      <w:proofErr w:type="gramEnd"/>
      <w:r w:rsidRPr="00877C0F">
        <w:rPr>
          <w:rFonts w:ascii="Garamond" w:eastAsia="Garamond" w:hAnsi="Garamond" w:cs="Garamond"/>
          <w:kern w:val="0"/>
          <w:sz w:val="22"/>
          <w:szCs w:val="22"/>
          <w14:ligatures w14:val="none"/>
        </w:rPr>
        <w:t xml:space="preserve"> vehicle’s propulsion. The model is commercially equivalent to the Mission Extension Vehicle approach demonstrated by Northrop Grumman. However, Astroscale’s implementation is intended to address the medium- and lower-mass satellite classes that the MEV model has not addressed.</w:t>
      </w:r>
    </w:p>
    <w:p w14:paraId="4E806846"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company’s portfolio reflects the broader trajectory of the active debris removal sector. The capabilities developed for debris removal translate directly to adjacent applications, such as lifetime extension, in-orbit servicing, and mission upgrades. The commercial viability of any individual application may be limited, but integrating multiple applications on a common technical platform yields a viable business model. This pattern is likely to continue to evolve across multiple operators in the coming years.</w:t>
      </w:r>
    </w:p>
    <w:p w14:paraId="2F2D154E"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Selection of Removal Targets</w:t>
      </w:r>
    </w:p>
    <w:p w14:paraId="6F971CF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selection of priority targets for active debris removal is informed by the cascade analysis in Chapter 4 and by the operational considerations of the removal missions. The technical and policy literature has converged on a relatively consistent set of priority targets, with broad agreement across multiple analyses on which specific objects should be addressed first.</w:t>
      </w:r>
    </w:p>
    <w:p w14:paraId="133E0798"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principal selection criteria are the object’s contribution to long-term collision risk, the operational accessibility of the object for removal missions, and the political acceptability of the removal operation. The first criterion is technical: large objects in heavily affected altitude bands that would produce many fragments if struck contribute most to long-term risk and provide the greatest benefit if removed. The second criterion is operational: objects reachable by removal missions launched from typical launch sites without prohibitive plane changes are more practical to remove. The third criterion is political: objects whose removal requires the consent or cooperation of multiple states create complications that some removal missions cannot address.</w:t>
      </w:r>
    </w:p>
    <w:p w14:paraId="4DB614FB"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Applying these criteria identifies several priority target categories. Soviet-era SL-16 (Zenit) rocket bodies in sun-synchronous and similar orbits are repeatedly identified as high-priority targets across analyses. These large stages, each weighing approximately 9 metric tonnes (9.9 tons), orbit at altitudes of 700 to 900 kilometers (435 to 559 miles) within the most heavily affected debris band. Approximately 40 such stages remain in orbit, and their removal would help reduce long-term collision risk in their orbital zones.</w:t>
      </w:r>
    </w:p>
    <w:p w14:paraId="5D4FB4F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lastRenderedPageBreak/>
        <w:t xml:space="preserve">The SL-16 </w:t>
      </w:r>
      <w:proofErr w:type="gramStart"/>
      <w:r w:rsidRPr="00877C0F">
        <w:rPr>
          <w:rFonts w:ascii="Garamond" w:eastAsia="Garamond" w:hAnsi="Garamond" w:cs="Garamond"/>
          <w:kern w:val="0"/>
          <w:sz w:val="22"/>
          <w:szCs w:val="22"/>
          <w14:ligatures w14:val="none"/>
        </w:rPr>
        <w:t>stages</w:t>
      </w:r>
      <w:proofErr w:type="gramEnd"/>
      <w:r w:rsidRPr="00877C0F">
        <w:rPr>
          <w:rFonts w:ascii="Garamond" w:eastAsia="Garamond" w:hAnsi="Garamond" w:cs="Garamond"/>
          <w:kern w:val="0"/>
          <w:sz w:val="22"/>
          <w:szCs w:val="22"/>
          <w14:ligatures w14:val="none"/>
        </w:rPr>
        <w:t xml:space="preserve"> most frequently cited in priority </w:t>
      </w:r>
      <w:proofErr w:type="gramStart"/>
      <w:r w:rsidRPr="00877C0F">
        <w:rPr>
          <w:rFonts w:ascii="Garamond" w:eastAsia="Garamond" w:hAnsi="Garamond" w:cs="Garamond"/>
          <w:kern w:val="0"/>
          <w:sz w:val="22"/>
          <w:szCs w:val="22"/>
          <w14:ligatures w14:val="none"/>
        </w:rPr>
        <w:t>analyses</w:t>
      </w:r>
      <w:proofErr w:type="gramEnd"/>
      <w:r w:rsidRPr="00877C0F">
        <w:rPr>
          <w:rFonts w:ascii="Garamond" w:eastAsia="Garamond" w:hAnsi="Garamond" w:cs="Garamond"/>
          <w:kern w:val="0"/>
          <w:sz w:val="22"/>
          <w:szCs w:val="22"/>
          <w14:ligatures w14:val="none"/>
        </w:rPr>
        <w:t xml:space="preserve"> share a common profile. Each is a Zenit-2 second stage with a dry mass of about 8,800 kilograms, an operational propellant capacity that was never fully depleted in earlier missions, and an orbital inclination between 65 and 98 degrees. The top candidates in ESA's and NASA's independent analyses consistently include objects cataloged as 1987-016B, 1988-001B, 1989-033B, and several similar stages from Zenit launches in the late 1980s and early 1990s. Together, these objects have a combined mass of roughly 200 metric tons in the most hazardous altitude band of low Earth orbit. If any one of them were catastrophically fragmented by a collision, the resulting fragment cloud would be comparable in scale to the Iridium-Cosmos event. It would persist for decades at the affected altitude.</w:t>
      </w:r>
    </w:p>
    <w:p w14:paraId="55DDD15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Defunct Earth observation and reconnaissance satellites in similar altitude orbits are also priority targets. ENVISAT, discussed in Chapter 10, is the largest single target in this category. Other large legacy Earth observation satellites that have been retired or decommissioned present similar opportunities for removal. The political complications of removing these satellites depend on the launching state and the satellite's operational status; satellites whose launching states are willing to cooperate can be addressed through bilateral arrangements, while those whose launching states are uncooperative pose more difficult diplomatic challenges.</w:t>
      </w:r>
    </w:p>
    <w:p w14:paraId="39B45171"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Specific large fragments from past breakup events, particularly the Fengyun-1C and Iridium-Cosmos events, are sometimes identified as priority targets. The argument is that these fragments are the most consequential among the populations affected by those events, and that their removal would reduce the cumulative consequences. The technical and operational challenges of removing fragments differ from those of removing intact satellites, and the priority of fragment removal versus intact satellite removal depends on specific analytical assumptions.</w:t>
      </w:r>
    </w:p>
    <w:p w14:paraId="55A5324B"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operational characteristics of specific removal vehicles have also influenced target selection. ClearSpace-1’s retargeting from Vespa to PROBA-1 illustrates the practical constraints: the original target was rendered unsuitable by a fragmentation event, and the replacement target had to be selected from the population of available alternatives that the mission’s specific capabilities could address. Target selection driven by mission-specific considerations rather than purely by priority analysis is likely to continue, particularly during the demonstration phase of removal missions.</w:t>
      </w:r>
    </w:p>
    <w:p w14:paraId="3D8743B5"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Regulatory and Legal Complications</w:t>
      </w:r>
    </w:p>
    <w:p w14:paraId="093D562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legal framework discussed in Chapter 7 poses significant challenges for active debris removal operations. The Outer Space Treaty’s principle of state jurisdiction over space objects, combined with the Liability Convention’s provisions on liability for damage in space, requires that any removal mission targeting fragments or satellites produced by another state’s space activities address several legal questions.</w:t>
      </w:r>
    </w:p>
    <w:p w14:paraId="111E5F5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most fundamental question is consent. Under the prevailing interpretation of the Outer Space Treaty, the launching state retains jurisdiction over its space objects, including debris fragments derived from those objects. Under this interpretation, active removal of such objects without the launching state’s consent would violate the treaty’s principles. This interpretation has not been formally tested, and no removal mission has yet attempted to address fragments from a non-cooperating launching state. However, the legal opinion among space law scholars is that consent </w:t>
      </w:r>
      <w:proofErr w:type="gramStart"/>
      <w:r w:rsidRPr="00877C0F">
        <w:rPr>
          <w:rFonts w:ascii="Garamond" w:eastAsia="Garamond" w:hAnsi="Garamond" w:cs="Garamond"/>
          <w:kern w:val="0"/>
          <w:sz w:val="22"/>
          <w:szCs w:val="22"/>
          <w14:ligatures w14:val="none"/>
        </w:rPr>
        <w:t>would be</w:t>
      </w:r>
      <w:proofErr w:type="gramEnd"/>
      <w:r w:rsidRPr="00877C0F">
        <w:rPr>
          <w:rFonts w:ascii="Garamond" w:eastAsia="Garamond" w:hAnsi="Garamond" w:cs="Garamond"/>
          <w:kern w:val="0"/>
          <w:sz w:val="22"/>
          <w:szCs w:val="22"/>
          <w14:ligatures w14:val="none"/>
        </w:rPr>
        <w:t xml:space="preserve"> required.</w:t>
      </w:r>
    </w:p>
    <w:p w14:paraId="553BA82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practical implication is that active debris removal missions must either target objects produced by the operator’s own state, target objects produced by states that have provided consent, or proceed under specific legal arrangements that address consent. ClearSpace-1’s targeting of the PROBA-1 satellite (an ESA-launched object) and Astroscale’s PRELUDE mission targeting a JAXA-launched H-IIA upper stage avoid the consent issue by focusing on objects produced by the operator’s home agency. Operators that wish to address the </w:t>
      </w:r>
      <w:r w:rsidRPr="00877C0F">
        <w:rPr>
          <w:rFonts w:ascii="Garamond" w:eastAsia="Garamond" w:hAnsi="Garamond" w:cs="Garamond"/>
          <w:kern w:val="0"/>
          <w:sz w:val="22"/>
          <w:szCs w:val="22"/>
          <w14:ligatures w14:val="none"/>
        </w:rPr>
        <w:lastRenderedPageBreak/>
        <w:t>highest-priority targets, including Russian SL-16 stages, Chinese fragments from Fengyun-1C, and other objects, face greater legal complications.</w:t>
      </w:r>
    </w:p>
    <w:p w14:paraId="6CADBD92"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development of frameworks to address these complications is an active area of debris policy. Several specific approaches have been proposed. Bilateral arrangements between launching states and removal operators could address specific removal operations through targeted agreements. Multilateral frameworks could establish standardized consent procedures for operators to follow. Establishing an international coordination body for active debris removal could provide the institutional infrastructure for handling consent </w:t>
      </w:r>
      <w:proofErr w:type="gramStart"/>
      <w:r w:rsidRPr="00877C0F">
        <w:rPr>
          <w:rFonts w:ascii="Garamond" w:eastAsia="Garamond" w:hAnsi="Garamond" w:cs="Garamond"/>
          <w:kern w:val="0"/>
          <w:sz w:val="22"/>
          <w:szCs w:val="22"/>
          <w14:ligatures w14:val="none"/>
        </w:rPr>
        <w:t>at</w:t>
      </w:r>
      <w:proofErr w:type="gramEnd"/>
      <w:r w:rsidRPr="00877C0F">
        <w:rPr>
          <w:rFonts w:ascii="Garamond" w:eastAsia="Garamond" w:hAnsi="Garamond" w:cs="Garamond"/>
          <w:kern w:val="0"/>
          <w:sz w:val="22"/>
          <w:szCs w:val="22"/>
          <w14:ligatures w14:val="none"/>
        </w:rPr>
        <w:t xml:space="preserve"> a global scale. None of these approaches </w:t>
      </w:r>
      <w:proofErr w:type="gramStart"/>
      <w:r w:rsidRPr="00877C0F">
        <w:rPr>
          <w:rFonts w:ascii="Garamond" w:eastAsia="Garamond" w:hAnsi="Garamond" w:cs="Garamond"/>
          <w:kern w:val="0"/>
          <w:sz w:val="22"/>
          <w:szCs w:val="22"/>
          <w14:ligatures w14:val="none"/>
        </w:rPr>
        <w:t>has</w:t>
      </w:r>
      <w:proofErr w:type="gramEnd"/>
      <w:r w:rsidRPr="00877C0F">
        <w:rPr>
          <w:rFonts w:ascii="Garamond" w:eastAsia="Garamond" w:hAnsi="Garamond" w:cs="Garamond"/>
          <w:kern w:val="0"/>
          <w:sz w:val="22"/>
          <w:szCs w:val="22"/>
          <w14:ligatures w14:val="none"/>
        </w:rPr>
        <w:t xml:space="preserve"> been formally adopted, but discussions are ongoing in COPUOS and other forums.</w:t>
      </w:r>
    </w:p>
    <w:p w14:paraId="604E8418"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A second category of legal complications concerns liability for the removal operation itself. If a removal vehicle damages a target during the operation, or if the operation produces additional fragments that damage other objects, the liability for that damage is unclear. The Liability Convention’s framework addresses damage caused by space objects but was not designed for the specific scenarios posed by removal operations. Developing liability frameworks that specifically address removal operations is a key aspect of debris policy.</w:t>
      </w:r>
    </w:p>
    <w:p w14:paraId="3F2E88E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National licensing frameworks for active debris removal are also being developed. The U.S. FCC has begun addressing removal services through specific guidance, though the framework remains in its early stages. ESA has developed internal procedures for the removal missions it operates and has provided guidance for European commercial operators. The UK Space Industry Act framework includes provisions addressing removal operations, with specific guidance issued by the UK regulator. Japan’s framework has been adapted to address Astroscale operations. Jurisdictional variation remains substantial, with consequences for operators seeking to provide services across multiple jurisdictions.</w:t>
      </w:r>
    </w:p>
    <w:p w14:paraId="7745D263"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The Economics of Active Removal</w:t>
      </w:r>
    </w:p>
    <w:p w14:paraId="4CA5181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economic case for active debris removal is among the most challenging aspects of the broader debris policy framework. The benefits of removal, including reduced collision risk for the international community, the prevention of additional fragmentation events that would generate thousands of new fragments, and the preservation of operational orbital regions, are diffuse and shared among many operators and states. The costs of removal, including the development of removal vehicles, the operations of removal missions, and the associated regulatory and insurance costs, are borne by specific entities. The misalignment between who pays and who benefits is a textbook commons problem and creates persistent challenges for financing.</w:t>
      </w:r>
    </w:p>
    <w:p w14:paraId="74997155"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cost of individual removal missions is extremely high. The ClearSpace-1 mission is estimated to cost $113-170 million USD (€100-150 million) across its development and operational phases. The PRELUDE mission’s costs have not been fully disclosed </w:t>
      </w:r>
      <w:proofErr w:type="gramStart"/>
      <w:r w:rsidRPr="00877C0F">
        <w:rPr>
          <w:rFonts w:ascii="Garamond" w:eastAsia="Garamond" w:hAnsi="Garamond" w:cs="Garamond"/>
          <w:kern w:val="0"/>
          <w:sz w:val="22"/>
          <w:szCs w:val="22"/>
          <w14:ligatures w14:val="none"/>
        </w:rPr>
        <w:t>publicly, but</w:t>
      </w:r>
      <w:proofErr w:type="gramEnd"/>
      <w:r w:rsidRPr="00877C0F">
        <w:rPr>
          <w:rFonts w:ascii="Garamond" w:eastAsia="Garamond" w:hAnsi="Garamond" w:cs="Garamond"/>
          <w:kern w:val="0"/>
          <w:sz w:val="22"/>
          <w:szCs w:val="22"/>
          <w14:ligatures w14:val="none"/>
        </w:rPr>
        <w:t xml:space="preserve"> are likely in a similar range. Follow-on commercial removal missions are expected to be less expensive as the technology matures. Still, the unit cost is unlikely to fall below tens of millions of dollars per mission for the foreseeable future. The total cost of removing the priority targets identified in the cascade analysis, on the order of dozens of large objects, is therefore </w:t>
      </w:r>
      <w:proofErr w:type="gramStart"/>
      <w:r w:rsidRPr="00877C0F">
        <w:rPr>
          <w:rFonts w:ascii="Garamond" w:eastAsia="Garamond" w:hAnsi="Garamond" w:cs="Garamond"/>
          <w:kern w:val="0"/>
          <w:sz w:val="22"/>
          <w:szCs w:val="22"/>
          <w14:ligatures w14:val="none"/>
        </w:rPr>
        <w:t>on</w:t>
      </w:r>
      <w:proofErr w:type="gramEnd"/>
      <w:r w:rsidRPr="00877C0F">
        <w:rPr>
          <w:rFonts w:ascii="Garamond" w:eastAsia="Garamond" w:hAnsi="Garamond" w:cs="Garamond"/>
          <w:kern w:val="0"/>
          <w:sz w:val="22"/>
          <w:szCs w:val="22"/>
          <w14:ligatures w14:val="none"/>
        </w:rPr>
        <w:t xml:space="preserve"> the order of billions of US dollars.</w:t>
      </w:r>
    </w:p>
    <w:p w14:paraId="3D9DC151"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benefits of removal are shared across the international space community. The reduction in collision risk benefits all operators in the affected altitude bands, not just the operators or states that funded the removal. Preventing cascade growth benefits all future users of the affected orbital regimes. The preservation of operational capacity benefits all states with future space ambitions. None of these benefits flows specifically enough to any individual operator or state to justify the full cost of removal under typical commercial logic.</w:t>
      </w:r>
    </w:p>
    <w:p w14:paraId="680E089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Several mechanisms have been proposed to address the financing challenge. Public funding from major spacefaring states is the most obvious mechanism and underpins ClearSpace-1, PRELUDE, and most other </w:t>
      </w:r>
      <w:r w:rsidRPr="00877C0F">
        <w:rPr>
          <w:rFonts w:ascii="Garamond" w:eastAsia="Garamond" w:hAnsi="Garamond" w:cs="Garamond"/>
          <w:kern w:val="0"/>
          <w:sz w:val="22"/>
          <w:szCs w:val="22"/>
          <w14:ligatures w14:val="none"/>
        </w:rPr>
        <w:lastRenderedPageBreak/>
        <w:t>current programs. The model is consistent with other examples of public investment in shared environmental goods, such as climate research and conservation programs. The limitation is that political considerations constrain public funding, and the level of funding may not align with the problem's technical scale.</w:t>
      </w:r>
    </w:p>
    <w:p w14:paraId="7D6C12E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International financing mechanisms could spread the cost across multiple states. Proposals include dedicated funds administered by UN bodies, contributions tied to launch activity, and other arrangements. None of these proposals </w:t>
      </w:r>
      <w:proofErr w:type="gramStart"/>
      <w:r w:rsidRPr="00877C0F">
        <w:rPr>
          <w:rFonts w:ascii="Garamond" w:eastAsia="Garamond" w:hAnsi="Garamond" w:cs="Garamond"/>
          <w:kern w:val="0"/>
          <w:sz w:val="22"/>
          <w:szCs w:val="22"/>
          <w14:ligatures w14:val="none"/>
        </w:rPr>
        <w:t>has</w:t>
      </w:r>
      <w:proofErr w:type="gramEnd"/>
      <w:r w:rsidRPr="00877C0F">
        <w:rPr>
          <w:rFonts w:ascii="Garamond" w:eastAsia="Garamond" w:hAnsi="Garamond" w:cs="Garamond"/>
          <w:kern w:val="0"/>
          <w:sz w:val="22"/>
          <w:szCs w:val="22"/>
          <w14:ligatures w14:val="none"/>
        </w:rPr>
        <w:t xml:space="preserve"> been formally adopted, and the political obstacles to international financing are formidable. Whether any such mechanism will emerge depends on building sufficient political consensus to support it, and that consensus has not yet materialized.</w:t>
      </w:r>
    </w:p>
    <w:p w14:paraId="361DC212"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Insurance-based mechanisms could finance the removal of specific high-risk objects through premiums collected from satellite insurance. Several proposals have been developed under this model, with varying degrees of detail. The principal challenge is that the insurance market does not currently price long-term debris risk into premiums in ways that would generate meaningful funding for removal. Pricing long-term risks in insurance markets tends to be conservative for risks that have not yet been demonstrated through actual claims.</w:t>
      </w:r>
    </w:p>
    <w:p w14:paraId="2EAAEF2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User fee mechanisms could collect contributions from operators based on their use of orbital resources, with the proceeds funding the removal of priority targets. The principle is well established in other resource management contexts but has not been applied to orbital activity. Various proposals have been developed, but political obstacles to implementing user fees remain considerable, particularly because the international community lacks the institutional infrastructure to collect them. Whether the user fee approach will emerge as a financing mechanism remains uncertain.</w:t>
      </w:r>
    </w:p>
    <w:p w14:paraId="6EA5710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Hybrid mechanisms that combine several of the approaches above are also under discussion. A mix of public seed funding, commercial development, and supporting mechanisms could provide the financing needed for sustained removal capability over the coming decades. The institutional and political development required for such a hybrid approach is extensive, and progress has been slower than the technical development of removal capability.</w:t>
      </w:r>
    </w:p>
    <w:p w14:paraId="5BECF1ED"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Sustained Removal Capability</w:t>
      </w:r>
    </w:p>
    <w:p w14:paraId="2C0A04B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transition from demonstration missions to sustained removal capability is among the most consequential developments anticipated for the coming decade. The current programs, ClearSpace-1, PRELUDE, and the various supporting missions, are demonstration activities that establish technical capability but operate at scales far below what the cascade analysis suggests is required. Developing sustained capability requires both continued technical maturation and the development of institutional and economic frameworks that can support multi-decade operations.</w:t>
      </w:r>
    </w:p>
    <w:p w14:paraId="17639E6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Technical maturation is progressing reasonably well. The ELSA-d demonstration of 2021-2022, the ADRAS-J inspection of 2024-2025, the ClearSpace-1 launch planned for 2028, and the PRELUDE launch planned for 2027 represent a progression of increasingly capable demonstrations. MEV operations from 2020 onward have demonstrated sustained operational capability for in-orbit servicing, which translates directly into debris removal. The accumulation of operational experience across multiple missions provides the technical basis for next-generation capability development.</w:t>
      </w:r>
    </w:p>
    <w:p w14:paraId="63BF7DB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Institutional and economic development is progressing more slowly. The legal complications surrounding consent to remove objects from non-cooperating states remain largely unaddressed. Financing mechanisms remain primarily dependent on national space agency budgets rather than on more sustainable mechanisms. International coordination of removal activities is still in its early stages. Each of these areas requires continued development for sustained capability to emerge.</w:t>
      </w:r>
    </w:p>
    <w:p w14:paraId="4446180A"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lastRenderedPageBreak/>
        <w:t xml:space="preserve">A key question for developing sustained capability is the operational scale that can realistically be achieved. The cascade analysis suggests that several large objects per year would need to be removed from the most heavily affected altitude bands to reduce long-term collision risk effectively. The current demonstration programs operate at scales of one or two missions per agency over </w:t>
      </w:r>
      <w:proofErr w:type="gramStart"/>
      <w:r w:rsidRPr="00877C0F">
        <w:rPr>
          <w:rFonts w:ascii="Garamond" w:eastAsia="Garamond" w:hAnsi="Garamond" w:cs="Garamond"/>
          <w:kern w:val="0"/>
          <w:sz w:val="22"/>
          <w:szCs w:val="22"/>
          <w14:ligatures w14:val="none"/>
        </w:rPr>
        <w:t>several-year</w:t>
      </w:r>
      <w:proofErr w:type="gramEnd"/>
      <w:r w:rsidRPr="00877C0F">
        <w:rPr>
          <w:rFonts w:ascii="Garamond" w:eastAsia="Garamond" w:hAnsi="Garamond" w:cs="Garamond"/>
          <w:kern w:val="0"/>
          <w:sz w:val="22"/>
          <w:szCs w:val="22"/>
          <w14:ligatures w14:val="none"/>
        </w:rPr>
        <w:t xml:space="preserve"> periods. Transitioning from this scale to several missions per year would require extensive expansion of both technical capacity and economic resources. Whether the transition will occur depends on factors including the continued maturation of the technology, the development of financing mechanisms, and the willingness of national space programs to commit to sustained removal as a strategic priority.</w:t>
      </w:r>
    </w:p>
    <w:p w14:paraId="50151392"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relationship between active debris removal and broader space sustainability is increasingly recognized in international policy discussions. The 2024 inclusion of active debris removal as a specific topic in COPUOS discussions, the recent development of national removal strategies in multiple countries, and the growing commercial interest in removal services all reflect a broader recognition that removal capability is essential to long-term space sustainability. Whether this recognition translates into the long-term investment that sustained capability requires will be a central test of debris policy over the coming decade.</w:t>
      </w:r>
    </w:p>
    <w:p w14:paraId="539C9D02"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In-Orbit Servicing as a Related Capability</w:t>
      </w:r>
    </w:p>
    <w:p w14:paraId="3A402ED1"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In-orbit servicing is a related capability that shares much of the technical infrastructure used for active debris removal. The MEV missions discussed earlier in this chapter have shown that operational servicing of commercial satellites is technically feasible and commercially viable for specific applications. The broader development of servicing capability has implications for debris policy beyond direct removal applications.</w:t>
      </w:r>
    </w:p>
    <w:p w14:paraId="4B50E0A4"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relationship between servicing and removal is multifaceted. Many satellites that would otherwise become debris at the end of their operational lives can have their operational lives extended through servicing, thereby reducing the rate at which new debris is added to the population. Satellites that have failed in ways that prevent normal disposal can sometimes be addressed through servicing operations that restore disposal capability. Satellites that pose specific debris risks due to design or operational issues can sometimes be modified through servicing to reduce those risks. </w:t>
      </w:r>
    </w:p>
    <w:p w14:paraId="78C6CFD0"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Developing refueling capability is a particularly important aspect of satellite servicing. Satellites that run out of propellant cannot perform end-of-life disposal maneuvers, and propellant exhaustion has been a significant cause of disposal failures. In-orbit refueling, demonstrated experimentally by several programs and under development for operational deployment, would address this failure mode and improve disposal compliance. The Northrop Grumman Mission Robotic Vehicle, in development for launch later in the 2020s, will incorporate refueling capability and represent one of the most advanced operational refueling demonstrations.</w:t>
      </w:r>
    </w:p>
    <w:p w14:paraId="7E1F4F6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Developing inspection and assessment capability is another important aspect. Satellites that experience anomalies during operation can sometimes be diagnosed and addressed through close inspection by servicing vehicles. This capability is most relevant for high-value assets in geostationary or other high-value orbits, where the cost of detailed servicing is justified by the value of preserving the operational satellite. The capability has proven successful in several missions and is being developed for broader operational use.</w:t>
      </w:r>
    </w:p>
    <w:p w14:paraId="1236118A"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CONFERS organization mentioned in Chapter 8 has been the principal industry body coordinating the development of servicing standards. The standards address technical interoperability (enabling servicing vehicles from one operator to service satellites operated by another), safety practices for proximity operations, and other aspects of operational coordination. The development of standards has been progressive, with the most basic technical compatibility standards published and more advanced operational standards under development.</w:t>
      </w:r>
    </w:p>
    <w:p w14:paraId="3F4B9CFF"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lastRenderedPageBreak/>
        <w:t>The Future of Active Debris Removal</w:t>
      </w:r>
    </w:p>
    <w:p w14:paraId="52D2AF8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trajectory of active debris removal over the coming decade depends on several developments whose outcomes remain uncertain as of mid-2026. The successful operation of ClearSpace-1, PRELUDE, and other near-term missions will establish the operational viability of the technical approaches. The development of sustained financing will determine whether the capability can scale beyond demonstration. The resolution of legal complications surrounding the removal of foreign objects will determine the achievable scope of removal operations. The integration of removal with the broader regulatory and operational frameworks for space activity will determine the institutional context in which removal operates.</w:t>
      </w:r>
    </w:p>
    <w:p w14:paraId="77A41C5D"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Several specific developments are anticipated. The maturation of commercial removal services will likely create a market with multiple competing operators serving satellite operators, regulatory bodies, and other customers. The development of standardized interfaces, common docking mechanisms, common operational protocols, and common regulatory pathways will reduce barriers to entry and broaden the scope of operations. The integration of removal with insurance markets and commercial financial frameworks will provide additional financing mechanisms. The continued development of international coordination frameworks will address legal complexities and cross-jurisdictional questions.</w:t>
      </w:r>
    </w:p>
    <w:p w14:paraId="6DE10B93"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 xml:space="preserve">The challenges to developing sustained capability are substantial. The political obstacles to international financing remain significant. The legal complications of removing foreign objects without consent are not easily resolved. The economic case for removal remains constrained by the diffuse nature of the benefits. The institutional infrastructure needed for sustained operations across multiple jurisdictions and decades </w:t>
      </w:r>
      <w:proofErr w:type="gramStart"/>
      <w:r w:rsidRPr="00877C0F">
        <w:rPr>
          <w:rFonts w:ascii="Garamond" w:eastAsia="Garamond" w:hAnsi="Garamond" w:cs="Garamond"/>
          <w:kern w:val="0"/>
          <w:sz w:val="22"/>
          <w:szCs w:val="22"/>
          <w14:ligatures w14:val="none"/>
        </w:rPr>
        <w:t>has</w:t>
      </w:r>
      <w:proofErr w:type="gramEnd"/>
      <w:r w:rsidRPr="00877C0F">
        <w:rPr>
          <w:rFonts w:ascii="Garamond" w:eastAsia="Garamond" w:hAnsi="Garamond" w:cs="Garamond"/>
          <w:kern w:val="0"/>
          <w:sz w:val="22"/>
          <w:szCs w:val="22"/>
          <w14:ligatures w14:val="none"/>
        </w:rPr>
        <w:t xml:space="preserve"> not yet emerged.</w:t>
      </w:r>
    </w:p>
    <w:p w14:paraId="6D8606E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The relationship between active removal and mitigation also warrants continued attention. The chapters that follow will examine other aspects of the broader response to the debris challenge, including artificial intelligence and emerging technologies (Chapter 12), economics and insurance (Chapter 13), human spaceflight (Chapter 14), astronomy and the orbital commons (Chapter 15), and the cislunar future (Chapter 16). Active removal is one element of a broader integrated response, and its effective deployment depends on the development of all related elements. Whether the international community can develop an integrated response at the pace and scale suggested by the cascade analysis remains the central question in contemporary debris policy.</w:t>
      </w:r>
    </w:p>
    <w:p w14:paraId="49C3B98A" w14:textId="77777777" w:rsidR="00877C0F" w:rsidRPr="00877C0F" w:rsidRDefault="00877C0F" w:rsidP="00877C0F">
      <w:pPr>
        <w:spacing w:before="240" w:after="0" w:line="276" w:lineRule="auto"/>
        <w:jc w:val="both"/>
        <w:rPr>
          <w:rFonts w:ascii="Garamond" w:eastAsia="Garamond" w:hAnsi="Garamond" w:cs="Garamond"/>
          <w:kern w:val="0"/>
          <w:sz w:val="22"/>
          <w:szCs w:val="22"/>
          <w14:ligatures w14:val="none"/>
        </w:rPr>
      </w:pPr>
    </w:p>
    <w:p w14:paraId="74B1B314" w14:textId="77777777" w:rsidR="00877C0F" w:rsidRPr="00877C0F" w:rsidRDefault="00877C0F" w:rsidP="00877C0F">
      <w:pPr>
        <w:spacing w:before="240" w:after="0" w:line="276" w:lineRule="auto"/>
        <w:jc w:val="both"/>
        <w:rPr>
          <w:rFonts w:ascii="Garamond" w:eastAsia="Garamond" w:hAnsi="Garamond" w:cs="Garamond"/>
          <w:kern w:val="0"/>
          <w:sz w:val="22"/>
          <w:szCs w:val="22"/>
          <w14:ligatures w14:val="none"/>
        </w:rPr>
      </w:pPr>
    </w:p>
    <w:p w14:paraId="602FFF33" w14:textId="77777777" w:rsidR="00877C0F" w:rsidRPr="00877C0F" w:rsidRDefault="00877C0F" w:rsidP="00877C0F">
      <w:pPr>
        <w:spacing w:after="80" w:line="240" w:lineRule="auto"/>
        <w:jc w:val="center"/>
        <w:rPr>
          <w:rFonts w:ascii="Garamond" w:eastAsia="Garamond" w:hAnsi="Garamond" w:cs="Garamond"/>
          <w:kern w:val="0"/>
          <w:sz w:val="22"/>
          <w:szCs w:val="22"/>
          <w14:ligatures w14:val="none"/>
        </w:rPr>
      </w:pPr>
      <w:r w:rsidRPr="00877C0F">
        <w:rPr>
          <w:rFonts w:ascii="Garamond" w:eastAsia="Garamond" w:hAnsi="Garamond" w:cs="Garamond"/>
          <w:noProof/>
          <w:kern w:val="0"/>
          <w:sz w:val="22"/>
          <w:szCs w:val="22"/>
          <w14:ligatures w14:val="none"/>
        </w:rPr>
        <w:lastRenderedPageBreak/>
        <w:drawing>
          <wp:inline distT="0" distB="0" distL="0" distR="0" wp14:anchorId="5F13112C" wp14:editId="7986BE84">
            <wp:extent cx="4043363" cy="2695575"/>
            <wp:effectExtent l="0" t="0" r="0" b="0"/>
            <wp:docPr id="811866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44939" cy="2696626"/>
                    </a:xfrm>
                    <a:prstGeom prst="rect">
                      <a:avLst/>
                    </a:prstGeom>
                    <a:noFill/>
                  </pic:spPr>
                </pic:pic>
              </a:graphicData>
            </a:graphic>
          </wp:inline>
        </w:drawing>
      </w:r>
    </w:p>
    <w:p w14:paraId="2C5E27F6" w14:textId="77777777" w:rsidR="00877C0F" w:rsidRPr="00877C0F" w:rsidRDefault="00877C0F" w:rsidP="00877C0F">
      <w:pPr>
        <w:spacing w:before="240" w:after="0" w:line="276" w:lineRule="auto"/>
        <w:jc w:val="both"/>
        <w:rPr>
          <w:rFonts w:ascii="Garamond" w:eastAsia="Garamond" w:hAnsi="Garamond" w:cs="Garamond"/>
          <w:kern w:val="0"/>
          <w:sz w:val="22"/>
          <w:szCs w:val="22"/>
          <w14:ligatures w14:val="none"/>
        </w:rPr>
      </w:pPr>
    </w:p>
    <w:p w14:paraId="332FD971" w14:textId="77777777" w:rsidR="00877C0F" w:rsidRPr="00877C0F" w:rsidRDefault="00877C0F" w:rsidP="00877C0F">
      <w:pPr>
        <w:spacing w:before="240" w:after="0" w:line="276" w:lineRule="auto"/>
        <w:jc w:val="both"/>
        <w:rPr>
          <w:rFonts w:ascii="Garamond" w:eastAsia="Garamond" w:hAnsi="Garamond" w:cs="Garamond"/>
          <w:kern w:val="0"/>
          <w:sz w:val="22"/>
          <w:szCs w:val="22"/>
          <w14:ligatures w14:val="none"/>
        </w:rPr>
      </w:pPr>
    </w:p>
    <w:p w14:paraId="4DB58C0E" w14:textId="77777777" w:rsidR="00877C0F" w:rsidRPr="00877C0F" w:rsidRDefault="00877C0F" w:rsidP="00877C0F">
      <w:pPr>
        <w:spacing w:after="80" w:line="240" w:lineRule="auto"/>
        <w:jc w:val="center"/>
        <w:rPr>
          <w:rFonts w:ascii="Garamond" w:eastAsia="Garamond" w:hAnsi="Garamond" w:cs="Garamond"/>
          <w:kern w:val="0"/>
          <w:sz w:val="22"/>
          <w:szCs w:val="22"/>
          <w14:ligatures w14:val="none"/>
        </w:rPr>
      </w:pPr>
      <w:r w:rsidRPr="00877C0F">
        <w:rPr>
          <w:rFonts w:ascii="Garamond" w:eastAsia="Garamond" w:hAnsi="Garamond" w:cs="Garamond"/>
          <w:noProof/>
          <w:kern w:val="0"/>
          <w:sz w:val="22"/>
          <w:szCs w:val="22"/>
          <w14:ligatures w14:val="none"/>
        </w:rPr>
        <w:drawing>
          <wp:inline distT="0" distB="0" distL="0" distR="0" wp14:anchorId="4147BF9F" wp14:editId="788EFF5D">
            <wp:extent cx="3962400" cy="2516910"/>
            <wp:effectExtent l="0" t="0" r="0" b="0"/>
            <wp:docPr id="6308692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6410" cy="2519457"/>
                    </a:xfrm>
                    <a:prstGeom prst="rect">
                      <a:avLst/>
                    </a:prstGeom>
                    <a:noFill/>
                  </pic:spPr>
                </pic:pic>
              </a:graphicData>
            </a:graphic>
          </wp:inline>
        </w:drawing>
      </w:r>
    </w:p>
    <w:tbl>
      <w:tblPr>
        <w:tblW w:w="6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32"/>
        <w:gridCol w:w="1230"/>
        <w:gridCol w:w="1230"/>
        <w:gridCol w:w="1230"/>
        <w:gridCol w:w="1270"/>
      </w:tblGrid>
      <w:tr w:rsidR="00877C0F" w:rsidRPr="00877C0F" w14:paraId="1D021C69" w14:textId="77777777" w:rsidTr="008712A9">
        <w:trPr>
          <w:cantSplit/>
          <w:tblHeader/>
          <w:jc w:val="center"/>
        </w:trPr>
        <w:tc>
          <w:tcPr>
            <w:tcW w:w="1232" w:type="dxa"/>
            <w:tcBorders>
              <w:top w:val="single" w:sz="8" w:space="0" w:color="000000"/>
              <w:left w:val="single" w:sz="4" w:space="0" w:color="CCCCCC"/>
              <w:bottom w:val="single" w:sz="8" w:space="0" w:color="000000"/>
              <w:right w:val="single" w:sz="4" w:space="0" w:color="CCCCCC"/>
            </w:tcBorders>
            <w:shd w:val="clear" w:color="auto" w:fill="E8E8E8"/>
            <w:tcMar>
              <w:top w:w="60" w:type="dxa"/>
              <w:left w:w="80" w:type="dxa"/>
              <w:bottom w:w="60" w:type="dxa"/>
              <w:right w:w="80" w:type="dxa"/>
            </w:tcMar>
          </w:tcPr>
          <w:p w14:paraId="48CAE448"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b/>
                <w:bCs/>
                <w:kern w:val="0"/>
                <w:sz w:val="18"/>
                <w:szCs w:val="18"/>
                <w14:ligatures w14:val="none"/>
              </w:rPr>
              <w:t>Mission</w:t>
            </w:r>
          </w:p>
        </w:tc>
        <w:tc>
          <w:tcPr>
            <w:tcW w:w="1230" w:type="dxa"/>
            <w:tcBorders>
              <w:top w:val="single" w:sz="8" w:space="0" w:color="000000"/>
              <w:left w:val="single" w:sz="4" w:space="0" w:color="CCCCCC"/>
              <w:bottom w:val="single" w:sz="8" w:space="0" w:color="000000"/>
              <w:right w:val="single" w:sz="4" w:space="0" w:color="CCCCCC"/>
            </w:tcBorders>
            <w:shd w:val="clear" w:color="auto" w:fill="E8E8E8"/>
            <w:tcMar>
              <w:top w:w="60" w:type="dxa"/>
              <w:left w:w="80" w:type="dxa"/>
              <w:bottom w:w="60" w:type="dxa"/>
              <w:right w:w="80" w:type="dxa"/>
            </w:tcMar>
          </w:tcPr>
          <w:p w14:paraId="2AA466EA"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b/>
                <w:bCs/>
                <w:kern w:val="0"/>
                <w:sz w:val="18"/>
                <w:szCs w:val="18"/>
                <w14:ligatures w14:val="none"/>
              </w:rPr>
              <w:t>Operator</w:t>
            </w:r>
          </w:p>
        </w:tc>
        <w:tc>
          <w:tcPr>
            <w:tcW w:w="1230" w:type="dxa"/>
            <w:tcBorders>
              <w:top w:val="single" w:sz="8" w:space="0" w:color="000000"/>
              <w:left w:val="single" w:sz="4" w:space="0" w:color="CCCCCC"/>
              <w:bottom w:val="single" w:sz="8" w:space="0" w:color="000000"/>
              <w:right w:val="single" w:sz="4" w:space="0" w:color="CCCCCC"/>
            </w:tcBorders>
            <w:shd w:val="clear" w:color="auto" w:fill="E8E8E8"/>
            <w:tcMar>
              <w:top w:w="60" w:type="dxa"/>
              <w:left w:w="80" w:type="dxa"/>
              <w:bottom w:w="60" w:type="dxa"/>
              <w:right w:w="80" w:type="dxa"/>
            </w:tcMar>
          </w:tcPr>
          <w:p w14:paraId="000CE0CD"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b/>
                <w:bCs/>
                <w:kern w:val="0"/>
                <w:sz w:val="18"/>
                <w:szCs w:val="18"/>
                <w14:ligatures w14:val="none"/>
              </w:rPr>
              <w:t>Launch</w:t>
            </w:r>
          </w:p>
        </w:tc>
        <w:tc>
          <w:tcPr>
            <w:tcW w:w="1230" w:type="dxa"/>
            <w:tcBorders>
              <w:top w:val="single" w:sz="8" w:space="0" w:color="000000"/>
              <w:left w:val="single" w:sz="4" w:space="0" w:color="CCCCCC"/>
              <w:bottom w:val="single" w:sz="8" w:space="0" w:color="000000"/>
              <w:right w:val="single" w:sz="4" w:space="0" w:color="CCCCCC"/>
            </w:tcBorders>
            <w:shd w:val="clear" w:color="auto" w:fill="E8E8E8"/>
            <w:tcMar>
              <w:top w:w="60" w:type="dxa"/>
              <w:left w:w="80" w:type="dxa"/>
              <w:bottom w:w="60" w:type="dxa"/>
              <w:right w:w="80" w:type="dxa"/>
            </w:tcMar>
          </w:tcPr>
          <w:p w14:paraId="0918B805"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b/>
                <w:bCs/>
                <w:kern w:val="0"/>
                <w:sz w:val="18"/>
                <w:szCs w:val="18"/>
                <w14:ligatures w14:val="none"/>
              </w:rPr>
              <w:t>Target</w:t>
            </w:r>
          </w:p>
        </w:tc>
        <w:tc>
          <w:tcPr>
            <w:tcW w:w="1270" w:type="dxa"/>
            <w:tcBorders>
              <w:top w:val="single" w:sz="8" w:space="0" w:color="000000"/>
              <w:left w:val="single" w:sz="4" w:space="0" w:color="CCCCCC"/>
              <w:bottom w:val="single" w:sz="8" w:space="0" w:color="000000"/>
              <w:right w:val="single" w:sz="4" w:space="0" w:color="CCCCCC"/>
            </w:tcBorders>
            <w:shd w:val="clear" w:color="auto" w:fill="E8E8E8"/>
            <w:tcMar>
              <w:top w:w="60" w:type="dxa"/>
              <w:left w:w="80" w:type="dxa"/>
              <w:bottom w:w="60" w:type="dxa"/>
              <w:right w:w="80" w:type="dxa"/>
            </w:tcMar>
          </w:tcPr>
          <w:p w14:paraId="14585D5B"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b/>
                <w:bCs/>
                <w:kern w:val="0"/>
                <w:sz w:val="18"/>
                <w:szCs w:val="18"/>
                <w14:ligatures w14:val="none"/>
              </w:rPr>
              <w:t>Capability</w:t>
            </w:r>
          </w:p>
        </w:tc>
      </w:tr>
      <w:tr w:rsidR="00877C0F" w:rsidRPr="00877C0F" w14:paraId="77D63089" w14:textId="77777777" w:rsidTr="008712A9">
        <w:trPr>
          <w:cantSplit/>
          <w:jc w:val="center"/>
        </w:trPr>
        <w:tc>
          <w:tcPr>
            <w:tcW w:w="1232"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750899D6"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ELSA-d</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6602AF7C"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Astroscale</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101314EC"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March 2021</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4716524A"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Magnetic docking plate (synthetic)</w:t>
            </w:r>
          </w:p>
        </w:tc>
        <w:tc>
          <w:tcPr>
            <w:tcW w:w="127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3E5FAF55"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Capture/release demo</w:t>
            </w:r>
          </w:p>
        </w:tc>
      </w:tr>
      <w:tr w:rsidR="00877C0F" w:rsidRPr="00877C0F" w14:paraId="66CE7ABB" w14:textId="77777777" w:rsidTr="008712A9">
        <w:trPr>
          <w:cantSplit/>
          <w:jc w:val="center"/>
        </w:trPr>
        <w:tc>
          <w:tcPr>
            <w:tcW w:w="1232"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6F10DDBF"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ADRAS-J</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7517CA77"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Astroscale / JAXA</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2CBF2E98"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Feb 2024</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3D6B3E55"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H-IIA upper stage</w:t>
            </w:r>
          </w:p>
        </w:tc>
        <w:tc>
          <w:tcPr>
            <w:tcW w:w="127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564316CC"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Rendezvous and inspection</w:t>
            </w:r>
          </w:p>
        </w:tc>
      </w:tr>
      <w:tr w:rsidR="00877C0F" w:rsidRPr="00877C0F" w14:paraId="4D77F393" w14:textId="77777777" w:rsidTr="008712A9">
        <w:trPr>
          <w:cantSplit/>
          <w:jc w:val="center"/>
        </w:trPr>
        <w:tc>
          <w:tcPr>
            <w:tcW w:w="1232"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1A4743FC"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MEV-1 / MEV-2</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3B07CB2D"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Northrop Grumman</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350A52C4"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2019/2020</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681605BD"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Intelsat 901 / 10-02</w:t>
            </w:r>
          </w:p>
        </w:tc>
        <w:tc>
          <w:tcPr>
            <w:tcW w:w="127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2FE70A03"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 xml:space="preserve">Commercial </w:t>
            </w:r>
            <w:proofErr w:type="gramStart"/>
            <w:r w:rsidRPr="00877C0F">
              <w:rPr>
                <w:rFonts w:ascii="Garamond" w:eastAsia="Garamond" w:hAnsi="Garamond" w:cs="Garamond"/>
                <w:kern w:val="0"/>
                <w:sz w:val="18"/>
                <w:szCs w:val="18"/>
                <w14:ligatures w14:val="none"/>
              </w:rPr>
              <w:t>servicing</w:t>
            </w:r>
            <w:proofErr w:type="gramEnd"/>
            <w:r w:rsidRPr="00877C0F">
              <w:rPr>
                <w:rFonts w:ascii="Garamond" w:eastAsia="Garamond" w:hAnsi="Garamond" w:cs="Garamond"/>
                <w:kern w:val="0"/>
                <w:sz w:val="18"/>
                <w:szCs w:val="18"/>
                <w14:ligatures w14:val="none"/>
              </w:rPr>
              <w:t xml:space="preserve"> (GEO)</w:t>
            </w:r>
          </w:p>
        </w:tc>
      </w:tr>
      <w:tr w:rsidR="00877C0F" w:rsidRPr="00877C0F" w14:paraId="475A26EF" w14:textId="77777777" w:rsidTr="008712A9">
        <w:trPr>
          <w:cantSplit/>
          <w:jc w:val="center"/>
        </w:trPr>
        <w:tc>
          <w:tcPr>
            <w:tcW w:w="1232"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0DC82A1E"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ClearSpace-1</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530480F6"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ClearSpace SA / ESA</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6ED442D1"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2028 (planned)</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601449E1"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PROBA-1 (retargeted Apr 2024)</w:t>
            </w:r>
          </w:p>
        </w:tc>
        <w:tc>
          <w:tcPr>
            <w:tcW w:w="127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0563239E"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Robotic capture &amp; deorbit</w:t>
            </w:r>
          </w:p>
        </w:tc>
      </w:tr>
      <w:tr w:rsidR="00877C0F" w:rsidRPr="00877C0F" w14:paraId="61B03C2A" w14:textId="77777777" w:rsidTr="008712A9">
        <w:trPr>
          <w:cantSplit/>
          <w:jc w:val="center"/>
        </w:trPr>
        <w:tc>
          <w:tcPr>
            <w:tcW w:w="1232"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6894840D"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lastRenderedPageBreak/>
              <w:t>PRELUDE</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249ACFC6"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Astroscale / JAXA</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6221ABBB"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2027 (planned)</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40C605BE"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H-IIA upper stage</w:t>
            </w:r>
          </w:p>
        </w:tc>
        <w:tc>
          <w:tcPr>
            <w:tcW w:w="127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07D71794"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Capture of tumbling target</w:t>
            </w:r>
          </w:p>
        </w:tc>
      </w:tr>
      <w:tr w:rsidR="00877C0F" w:rsidRPr="00877C0F" w14:paraId="202249E4" w14:textId="77777777" w:rsidTr="008712A9">
        <w:trPr>
          <w:cantSplit/>
          <w:jc w:val="center"/>
        </w:trPr>
        <w:tc>
          <w:tcPr>
            <w:tcW w:w="1232"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41010853"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ELSA-M</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5FA935A9"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Astroscale</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797C889B"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2027–2028</w:t>
            </w:r>
          </w:p>
        </w:tc>
        <w:tc>
          <w:tcPr>
            <w:tcW w:w="123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399197F2"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OneWeb satellites</w:t>
            </w:r>
          </w:p>
        </w:tc>
        <w:tc>
          <w:tcPr>
            <w:tcW w:w="1270" w:type="dxa"/>
            <w:tcBorders>
              <w:top w:val="single" w:sz="4" w:space="0" w:color="CCCCCC"/>
              <w:left w:val="single" w:sz="4" w:space="0" w:color="CCCCCC"/>
              <w:bottom w:val="single" w:sz="4" w:space="0" w:color="CCCCCC"/>
              <w:right w:val="single" w:sz="4" w:space="0" w:color="CCCCCC"/>
            </w:tcBorders>
            <w:tcMar>
              <w:top w:w="60" w:type="dxa"/>
              <w:left w:w="80" w:type="dxa"/>
              <w:bottom w:w="60" w:type="dxa"/>
              <w:right w:w="80" w:type="dxa"/>
            </w:tcMar>
          </w:tcPr>
          <w:p w14:paraId="217EFFA6" w14:textId="77777777" w:rsidR="00877C0F" w:rsidRPr="00877C0F" w:rsidRDefault="00877C0F" w:rsidP="00877C0F">
            <w:pPr>
              <w:spacing w:after="0" w:line="276" w:lineRule="auto"/>
              <w:rPr>
                <w:rFonts w:ascii="Garamond" w:eastAsia="Garamond" w:hAnsi="Garamond" w:cs="Garamond"/>
                <w:kern w:val="0"/>
                <w:sz w:val="22"/>
                <w:szCs w:val="22"/>
                <w14:ligatures w14:val="none"/>
              </w:rPr>
            </w:pPr>
            <w:r w:rsidRPr="00877C0F">
              <w:rPr>
                <w:rFonts w:ascii="Garamond" w:eastAsia="Garamond" w:hAnsi="Garamond" w:cs="Garamond"/>
                <w:kern w:val="0"/>
                <w:sz w:val="18"/>
                <w:szCs w:val="18"/>
                <w14:ligatures w14:val="none"/>
              </w:rPr>
              <w:t>Commercial removal service</w:t>
            </w:r>
          </w:p>
        </w:tc>
      </w:tr>
    </w:tbl>
    <w:p w14:paraId="5E796759" w14:textId="77777777" w:rsidR="00877C0F" w:rsidRPr="00877C0F" w:rsidRDefault="00877C0F" w:rsidP="00877C0F">
      <w:pPr>
        <w:spacing w:before="120" w:after="240" w:line="276" w:lineRule="auto"/>
        <w:jc w:val="center"/>
        <w:rPr>
          <w:rFonts w:ascii="Garamond" w:eastAsia="Garamond" w:hAnsi="Garamond" w:cs="Garamond"/>
          <w:kern w:val="0"/>
          <w:sz w:val="22"/>
          <w:szCs w:val="22"/>
          <w14:ligatures w14:val="none"/>
        </w:rPr>
      </w:pPr>
      <w:r w:rsidRPr="00877C0F">
        <w:rPr>
          <w:rFonts w:ascii="Garamond" w:eastAsia="Garamond" w:hAnsi="Garamond" w:cs="Garamond"/>
          <w:kern w:val="0"/>
          <w:sz w:val="20"/>
          <w:szCs w:val="20"/>
          <w14:ligatures w14:val="none"/>
        </w:rPr>
        <w:t>Table 11.1. Active Debris Removal Demonstrations, 2021–2028</w:t>
      </w:r>
    </w:p>
    <w:p w14:paraId="727EB205" w14:textId="77777777" w:rsidR="00877C0F" w:rsidRPr="00877C0F" w:rsidRDefault="00877C0F" w:rsidP="00877C0F">
      <w:pPr>
        <w:keepNext/>
        <w:spacing w:before="280" w:after="140" w:line="360" w:lineRule="auto"/>
        <w:outlineLvl w:val="1"/>
        <w:rPr>
          <w:rFonts w:ascii="Garamond" w:eastAsia="Garamond" w:hAnsi="Garamond" w:cs="Garamond"/>
          <w:b/>
          <w:bCs/>
          <w:kern w:val="0"/>
          <w:sz w:val="28"/>
          <w:szCs w:val="28"/>
          <w14:ligatures w14:val="none"/>
        </w:rPr>
      </w:pPr>
      <w:r w:rsidRPr="00877C0F">
        <w:rPr>
          <w:rFonts w:ascii="Garamond" w:eastAsia="Garamond" w:hAnsi="Garamond" w:cs="Garamond"/>
          <w:b/>
          <w:bCs/>
          <w:kern w:val="0"/>
          <w:sz w:val="28"/>
          <w:szCs w:val="28"/>
          <w14:ligatures w14:val="none"/>
        </w:rPr>
        <w:t>Chapter Summary</w:t>
      </w:r>
    </w:p>
    <w:p w14:paraId="01807137" w14:textId="77777777" w:rsidR="00877C0F" w:rsidRPr="00877C0F" w:rsidRDefault="00877C0F" w:rsidP="00877C0F">
      <w:pPr>
        <w:spacing w:after="0" w:line="276" w:lineRule="auto"/>
        <w:ind w:firstLine="360"/>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t>Active debris removal, the deliberate capture and disposal of derelict satellites and debris fragments by purpose-built spacecraft, is the technical response to the cascade analysis’s conclusion that mitigation alone is insufficient to stabilize the long-term debris environment in supercritical altitude bands. The capability has progressed from concept to demonstration through a series of missions, including ESA’s ClearSpace-1 (2028), Astroscale’s PRELUDE (2027), and supporting demonstrations such as ELSA-d, ADRAS-J, and the MEV servicing missions. Technical approaches include robotic capture, net systems, harpoon systems, magnetic capture, and adhesive capture, each suited to specific target categories. Target prioritization is informed by the cascade analysis, with Soviet-era SL-16 stages, defunct Earth observation satellites, and specific large fragments identified as the highest priorities. Legal and regulatory complications, particularly the consent issue for removing objects from non-cooperating launching states, remain unaddressed and constrain the achievable scope of operations. The economic case is challenging due to the diffuse nature of the benefits, with public funding from major spacefaring states the principal current financing mechanism. The transition from demonstration to sustained capability over the coming decade will be a central test of debris policy. In-orbit servicing is a related capability that shares much of the technical infrastructure and has additional implications for debris policy through the extension of operational lifetimes, the refueling of satellites for reliable disposal, and the inspection and assessment of operational anomalies. The integrated development of removal and servicing capabilities, combined with ongoing improvements in mitigation, provides the technical basis for the response to the debris challenge as framed by the cascade analysis.</w:t>
      </w:r>
    </w:p>
    <w:p w14:paraId="70F4E584" w14:textId="715513DE" w:rsidR="00952941" w:rsidRPr="00877C0F" w:rsidRDefault="00877C0F" w:rsidP="00877C0F">
      <w:pPr>
        <w:spacing w:after="0" w:line="276" w:lineRule="auto"/>
        <w:jc w:val="both"/>
        <w:rPr>
          <w:rFonts w:ascii="Garamond" w:eastAsia="Garamond" w:hAnsi="Garamond" w:cs="Garamond"/>
          <w:kern w:val="0"/>
          <w:sz w:val="22"/>
          <w:szCs w:val="22"/>
          <w14:ligatures w14:val="none"/>
        </w:rPr>
      </w:pPr>
      <w:r w:rsidRPr="00877C0F">
        <w:rPr>
          <w:rFonts w:ascii="Garamond" w:eastAsia="Garamond" w:hAnsi="Garamond" w:cs="Garamond"/>
          <w:kern w:val="0"/>
          <w:sz w:val="22"/>
          <w:szCs w:val="22"/>
          <w14:ligatures w14:val="none"/>
        </w:rPr>
        <w:br w:type="page"/>
      </w:r>
    </w:p>
    <w:sectPr w:rsidR="00952941" w:rsidRPr="00877C0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B202E" w14:textId="77777777" w:rsidR="007977C4" w:rsidRDefault="007977C4" w:rsidP="00877C0F">
      <w:pPr>
        <w:spacing w:after="0" w:line="240" w:lineRule="auto"/>
      </w:pPr>
      <w:r>
        <w:separator/>
      </w:r>
    </w:p>
  </w:endnote>
  <w:endnote w:type="continuationSeparator" w:id="0">
    <w:p w14:paraId="368719EE" w14:textId="77777777" w:rsidR="007977C4" w:rsidRDefault="007977C4" w:rsidP="0087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0" w:usb2="00000000" w:usb3="00000000" w:csb0="0000009F" w:csb1="00000000"/>
  </w:font>
  <w:font w:name="Sagona Book">
    <w:charset w:val="00"/>
    <w:family w:val="roman"/>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E477" w14:textId="77777777" w:rsidR="00877C0F" w:rsidRDefault="00877C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F913" w14:textId="77777777" w:rsidR="00877C0F" w:rsidRDefault="00877C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FC6B" w14:textId="77777777" w:rsidR="00877C0F" w:rsidRDefault="00877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22765" w14:textId="77777777" w:rsidR="007977C4" w:rsidRDefault="007977C4" w:rsidP="00877C0F">
      <w:pPr>
        <w:spacing w:after="0" w:line="240" w:lineRule="auto"/>
      </w:pPr>
      <w:r>
        <w:separator/>
      </w:r>
    </w:p>
  </w:footnote>
  <w:footnote w:type="continuationSeparator" w:id="0">
    <w:p w14:paraId="17A6A7D7" w14:textId="77777777" w:rsidR="007977C4" w:rsidRDefault="007977C4" w:rsidP="00877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1738" w14:textId="77777777" w:rsidR="00877C0F" w:rsidRDefault="00877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817358"/>
      <w:docPartObj>
        <w:docPartGallery w:val="Watermarks"/>
        <w:docPartUnique/>
      </w:docPartObj>
    </w:sdtPr>
    <w:sdtContent>
      <w:p w14:paraId="1FA222E4" w14:textId="4261CCFD" w:rsidR="00877C0F" w:rsidRDefault="00877C0F">
        <w:pPr>
          <w:pStyle w:val="Header"/>
        </w:pPr>
        <w:r>
          <w:rPr>
            <w:noProof/>
          </w:rPr>
          <w:pict w14:anchorId="1E4159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907B" w14:textId="77777777" w:rsidR="00877C0F" w:rsidRDefault="00877C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39"/>
    <w:rsid w:val="00501B95"/>
    <w:rsid w:val="007977C4"/>
    <w:rsid w:val="00877C0F"/>
    <w:rsid w:val="008A2C9E"/>
    <w:rsid w:val="00952941"/>
    <w:rsid w:val="00C36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65718"/>
  <w15:chartTrackingRefBased/>
  <w15:docId w15:val="{A8C17567-43DB-4D7F-BADA-A69A5AFD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C0F"/>
  </w:style>
  <w:style w:type="paragraph" w:styleId="Heading1">
    <w:name w:val="heading 1"/>
    <w:basedOn w:val="Normal"/>
    <w:next w:val="Normal"/>
    <w:link w:val="Heading1Char"/>
    <w:uiPriority w:val="9"/>
    <w:qFormat/>
    <w:rsid w:val="00C36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639"/>
    <w:rPr>
      <w:rFonts w:eastAsiaTheme="majorEastAsia" w:cstheme="majorBidi"/>
      <w:color w:val="272727" w:themeColor="text1" w:themeTint="D8"/>
    </w:rPr>
  </w:style>
  <w:style w:type="paragraph" w:styleId="Title">
    <w:name w:val="Title"/>
    <w:basedOn w:val="Normal"/>
    <w:next w:val="Normal"/>
    <w:link w:val="TitleChar"/>
    <w:uiPriority w:val="10"/>
    <w:qFormat/>
    <w:rsid w:val="00C36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639"/>
    <w:pPr>
      <w:spacing w:before="160"/>
      <w:jc w:val="center"/>
    </w:pPr>
    <w:rPr>
      <w:i/>
      <w:iCs/>
      <w:color w:val="404040" w:themeColor="text1" w:themeTint="BF"/>
    </w:rPr>
  </w:style>
  <w:style w:type="character" w:customStyle="1" w:styleId="QuoteChar">
    <w:name w:val="Quote Char"/>
    <w:basedOn w:val="DefaultParagraphFont"/>
    <w:link w:val="Quote"/>
    <w:uiPriority w:val="29"/>
    <w:rsid w:val="00C36639"/>
    <w:rPr>
      <w:i/>
      <w:iCs/>
      <w:color w:val="404040" w:themeColor="text1" w:themeTint="BF"/>
    </w:rPr>
  </w:style>
  <w:style w:type="paragraph" w:styleId="ListParagraph">
    <w:name w:val="List Paragraph"/>
    <w:basedOn w:val="Normal"/>
    <w:uiPriority w:val="34"/>
    <w:qFormat/>
    <w:rsid w:val="00C36639"/>
    <w:pPr>
      <w:ind w:left="720"/>
      <w:contextualSpacing/>
    </w:pPr>
  </w:style>
  <w:style w:type="character" w:styleId="IntenseEmphasis">
    <w:name w:val="Intense Emphasis"/>
    <w:basedOn w:val="DefaultParagraphFont"/>
    <w:uiPriority w:val="21"/>
    <w:qFormat/>
    <w:rsid w:val="00C36639"/>
    <w:rPr>
      <w:i/>
      <w:iCs/>
      <w:color w:val="0F4761" w:themeColor="accent1" w:themeShade="BF"/>
    </w:rPr>
  </w:style>
  <w:style w:type="paragraph" w:styleId="IntenseQuote">
    <w:name w:val="Intense Quote"/>
    <w:basedOn w:val="Normal"/>
    <w:next w:val="Normal"/>
    <w:link w:val="IntenseQuoteChar"/>
    <w:uiPriority w:val="30"/>
    <w:qFormat/>
    <w:rsid w:val="00C36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639"/>
    <w:rPr>
      <w:i/>
      <w:iCs/>
      <w:color w:val="0F4761" w:themeColor="accent1" w:themeShade="BF"/>
    </w:rPr>
  </w:style>
  <w:style w:type="character" w:styleId="IntenseReference">
    <w:name w:val="Intense Reference"/>
    <w:basedOn w:val="DefaultParagraphFont"/>
    <w:uiPriority w:val="32"/>
    <w:qFormat/>
    <w:rsid w:val="00C36639"/>
    <w:rPr>
      <w:b/>
      <w:bCs/>
      <w:smallCaps/>
      <w:color w:val="0F4761" w:themeColor="accent1" w:themeShade="BF"/>
      <w:spacing w:val="5"/>
    </w:rPr>
  </w:style>
  <w:style w:type="paragraph" w:styleId="Header">
    <w:name w:val="header"/>
    <w:basedOn w:val="Normal"/>
    <w:link w:val="HeaderChar"/>
    <w:uiPriority w:val="99"/>
    <w:unhideWhenUsed/>
    <w:rsid w:val="00877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C0F"/>
  </w:style>
  <w:style w:type="paragraph" w:styleId="Footer">
    <w:name w:val="footer"/>
    <w:basedOn w:val="Normal"/>
    <w:link w:val="FooterChar"/>
    <w:uiPriority w:val="99"/>
    <w:unhideWhenUsed/>
    <w:rsid w:val="00877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25</Pages>
  <Words>12692</Words>
  <Characters>72351</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Crutchfield</dc:creator>
  <cp:keywords/>
  <dc:description/>
  <cp:lastModifiedBy>Jason Crutchfield</cp:lastModifiedBy>
  <cp:revision>1</cp:revision>
  <cp:lastPrinted>2026-07-09T22:01:00Z</cp:lastPrinted>
  <dcterms:created xsi:type="dcterms:W3CDTF">2026-07-09T21:45:00Z</dcterms:created>
  <dcterms:modified xsi:type="dcterms:W3CDTF">2026-07-09T22:02:00Z</dcterms:modified>
</cp:coreProperties>
</file>